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right="525"/>
        <w:jc w:val="center"/>
        <w:rPr>
          <w:rFonts w:eastAsia="楷体_GB2312"/>
          <w:b/>
          <w:spacing w:val="30"/>
          <w:sz w:val="56"/>
          <w:szCs w:val="72"/>
        </w:rPr>
      </w:pPr>
    </w:p>
    <w:p>
      <w:pPr>
        <w:spacing w:line="360" w:lineRule="auto"/>
        <w:ind w:right="525"/>
        <w:jc w:val="center"/>
        <w:rPr>
          <w:rFonts w:eastAsia="楷体_GB2312"/>
          <w:b/>
          <w:spacing w:val="30"/>
          <w:sz w:val="56"/>
          <w:szCs w:val="72"/>
        </w:rPr>
      </w:pPr>
    </w:p>
    <w:p>
      <w:pPr>
        <w:spacing w:line="360" w:lineRule="auto"/>
        <w:ind w:right="525"/>
        <w:jc w:val="center"/>
        <w:rPr>
          <w:rFonts w:eastAsia="楷体_GB2312"/>
          <w:b/>
          <w:spacing w:val="30"/>
          <w:sz w:val="56"/>
          <w:szCs w:val="72"/>
        </w:rPr>
      </w:pPr>
      <w:bookmarkStart w:id="0" w:name="_Hlk14422877"/>
      <w:bookmarkStart w:id="1" w:name="_Hlk14269625"/>
      <w:r>
        <w:rPr>
          <w:rFonts w:hint="eastAsia" w:eastAsia="楷体_GB2312"/>
          <w:b/>
          <w:spacing w:val="30"/>
          <w:sz w:val="56"/>
          <w:szCs w:val="72"/>
        </w:rPr>
        <w:t>反坦克武器装备机电系统虚拟仿真综合实验</w:t>
      </w:r>
      <w:bookmarkEnd w:id="0"/>
      <w:r>
        <w:rPr>
          <w:rFonts w:hint="eastAsia" w:eastAsia="楷体_GB2312"/>
          <w:b/>
          <w:spacing w:val="30"/>
          <w:sz w:val="56"/>
          <w:szCs w:val="72"/>
        </w:rPr>
        <w:t>指导书</w:t>
      </w:r>
    </w:p>
    <w:bookmarkEnd w:id="1"/>
    <w:p>
      <w:pPr>
        <w:pStyle w:val="26"/>
        <w:spacing w:line="360" w:lineRule="auto"/>
        <w:ind w:right="525"/>
        <w:jc w:val="center"/>
        <w:rPr>
          <w:rFonts w:eastAsia="楷体_GB2312"/>
          <w:b/>
          <w:color w:val="000000"/>
          <w:spacing w:val="30"/>
          <w:sz w:val="52"/>
          <w:szCs w:val="52"/>
        </w:rPr>
      </w:pPr>
    </w:p>
    <w:p>
      <w:pPr>
        <w:pStyle w:val="25"/>
        <w:spacing w:line="360" w:lineRule="auto"/>
        <w:ind w:right="525"/>
        <w:jc w:val="center"/>
        <w:rPr>
          <w:rFonts w:eastAsia="楷体_GB2312"/>
          <w:b/>
          <w:color w:val="000000"/>
          <w:spacing w:val="30"/>
          <w:sz w:val="44"/>
          <w:szCs w:val="44"/>
        </w:rPr>
      </w:pPr>
      <w:r>
        <w:rPr>
          <w:rFonts w:hint="eastAsia" w:eastAsia="楷体_GB2312"/>
          <w:b/>
          <w:color w:val="000000"/>
          <w:spacing w:val="30"/>
          <w:sz w:val="44"/>
          <w:szCs w:val="44"/>
        </w:rPr>
        <w:t xml:space="preserve">(OWVLab </w:t>
      </w:r>
      <w:r>
        <w:rPr>
          <w:rFonts w:eastAsia="楷体_GB2312"/>
          <w:b/>
          <w:color w:val="000000"/>
          <w:spacing w:val="30"/>
          <w:sz w:val="44"/>
          <w:szCs w:val="44"/>
        </w:rPr>
        <w:t>FTKWZJD</w:t>
      </w:r>
      <w:r>
        <w:rPr>
          <w:rFonts w:hint="eastAsia" w:eastAsia="楷体_GB2312"/>
          <w:b/>
          <w:color w:val="000000"/>
          <w:spacing w:val="30"/>
          <w:sz w:val="44"/>
          <w:szCs w:val="44"/>
        </w:rPr>
        <w:t>)</w:t>
      </w:r>
    </w:p>
    <w:p>
      <w:pPr>
        <w:spacing w:line="360" w:lineRule="auto"/>
        <w:ind w:right="525"/>
        <w:jc w:val="center"/>
        <w:rPr>
          <w:b/>
          <w:sz w:val="36"/>
        </w:rPr>
      </w:pPr>
    </w:p>
    <w:p>
      <w:pPr>
        <w:spacing w:line="360" w:lineRule="auto"/>
        <w:ind w:right="525" w:firstLine="720" w:firstLineChars="200"/>
        <w:jc w:val="center"/>
        <w:rPr>
          <w:sz w:val="36"/>
          <w:szCs w:val="36"/>
        </w:rPr>
      </w:pPr>
    </w:p>
    <w:p>
      <w:pPr>
        <w:spacing w:line="360" w:lineRule="auto"/>
        <w:ind w:right="525"/>
        <w:rPr>
          <w:sz w:val="32"/>
          <w:szCs w:val="32"/>
        </w:rPr>
      </w:pPr>
      <w:r>
        <w:rPr>
          <w:rFonts w:hint="eastAsia"/>
          <w:sz w:val="32"/>
          <w:szCs w:val="32"/>
        </w:rPr>
        <w:t xml:space="preserve"> </w:t>
      </w:r>
    </w:p>
    <w:p>
      <w:pPr>
        <w:spacing w:line="360" w:lineRule="auto"/>
        <w:ind w:right="525"/>
        <w:rPr>
          <w:sz w:val="32"/>
          <w:szCs w:val="32"/>
        </w:rPr>
      </w:pPr>
    </w:p>
    <w:p>
      <w:pPr>
        <w:spacing w:line="360" w:lineRule="auto"/>
        <w:ind w:right="525"/>
        <w:rPr>
          <w:sz w:val="32"/>
          <w:szCs w:val="32"/>
        </w:rPr>
      </w:pPr>
    </w:p>
    <w:p>
      <w:pPr>
        <w:spacing w:line="360" w:lineRule="auto"/>
        <w:ind w:right="525"/>
        <w:rPr>
          <w:sz w:val="32"/>
          <w:szCs w:val="32"/>
        </w:rPr>
      </w:pPr>
    </w:p>
    <w:p>
      <w:pPr>
        <w:spacing w:line="360" w:lineRule="auto"/>
        <w:ind w:right="525"/>
        <w:rPr>
          <w:sz w:val="32"/>
          <w:szCs w:val="32"/>
        </w:rPr>
      </w:pPr>
    </w:p>
    <w:p>
      <w:pPr>
        <w:spacing w:line="360" w:lineRule="auto"/>
        <w:ind w:right="525"/>
        <w:rPr>
          <w:sz w:val="32"/>
          <w:szCs w:val="32"/>
        </w:rPr>
      </w:pPr>
    </w:p>
    <w:p>
      <w:pPr>
        <w:spacing w:line="360" w:lineRule="auto"/>
        <w:ind w:right="525"/>
        <w:rPr>
          <w:sz w:val="32"/>
          <w:szCs w:val="32"/>
        </w:rPr>
      </w:pPr>
    </w:p>
    <w:p>
      <w:pPr>
        <w:spacing w:line="360" w:lineRule="auto"/>
        <w:ind w:right="525" w:firstLine="640" w:firstLineChars="200"/>
        <w:jc w:val="center"/>
        <w:rPr>
          <w:sz w:val="32"/>
          <w:szCs w:val="32"/>
        </w:rPr>
      </w:pPr>
    </w:p>
    <w:p>
      <w:pPr>
        <w:spacing w:line="360" w:lineRule="auto"/>
        <w:jc w:val="center"/>
        <w:rPr>
          <w:rFonts w:ascii="楷体_GB2312" w:hAnsi="楷体" w:eastAsia="楷体_GB2312"/>
          <w:b/>
          <w:sz w:val="56"/>
          <w:szCs w:val="56"/>
        </w:rPr>
      </w:pPr>
      <w:r>
        <w:rPr>
          <w:rFonts w:hint="eastAsia"/>
          <w:b/>
          <w:spacing w:val="50"/>
          <w:sz w:val="36"/>
        </w:rPr>
        <w:t>国防科学技术大学</w:t>
      </w:r>
    </w:p>
    <w:p>
      <w:pPr>
        <w:spacing w:line="360" w:lineRule="auto"/>
        <w:jc w:val="center"/>
        <w:rPr>
          <w:rFonts w:ascii="楷体_GB2312" w:hAnsi="楷体" w:eastAsia="楷体_GB2312"/>
          <w:b/>
          <w:sz w:val="28"/>
          <w:szCs w:val="28"/>
        </w:rPr>
      </w:pPr>
    </w:p>
    <w:p>
      <w:pPr>
        <w:spacing w:line="360" w:lineRule="auto"/>
        <w:jc w:val="center"/>
        <w:rPr>
          <w:rFonts w:ascii="楷体_GB2312" w:hAnsi="楷体" w:eastAsia="楷体_GB2312"/>
          <w:b/>
          <w:sz w:val="28"/>
          <w:szCs w:val="28"/>
        </w:rPr>
      </w:pPr>
      <w:bookmarkStart w:id="19" w:name="_GoBack"/>
      <w:bookmarkEnd w:id="19"/>
    </w:p>
    <w:sdt>
      <w:sdtPr>
        <w:rPr>
          <w:rFonts w:ascii="Times New Roman" w:hAnsi="Times New Roman" w:eastAsia="宋体" w:cs="Times New Roman"/>
          <w:b w:val="0"/>
          <w:bCs w:val="0"/>
          <w:color w:val="auto"/>
          <w:kern w:val="2"/>
          <w:sz w:val="21"/>
          <w:szCs w:val="20"/>
          <w:lang w:val="zh-CN"/>
        </w:rPr>
        <w:id w:val="-808628215"/>
      </w:sdtPr>
      <w:sdtEndPr>
        <w:rPr>
          <w:rFonts w:ascii="Times New Roman" w:hAnsi="Times New Roman" w:eastAsia="宋体" w:cs="Times New Roman"/>
          <w:b w:val="0"/>
          <w:bCs w:val="0"/>
          <w:color w:val="auto"/>
          <w:kern w:val="2"/>
          <w:sz w:val="21"/>
          <w:szCs w:val="20"/>
          <w:lang w:val="zh-CN"/>
        </w:rPr>
      </w:sdtEndPr>
      <w:sdtContent>
        <w:p>
          <w:pPr>
            <w:pStyle w:val="32"/>
            <w:spacing w:line="360" w:lineRule="auto"/>
            <w:jc w:val="center"/>
            <w:rPr>
              <w:lang w:val="zh-CN"/>
            </w:rPr>
          </w:pPr>
          <w:bookmarkStart w:id="2" w:name="_Toc469493406"/>
          <w:r>
            <w:rPr>
              <w:lang w:val="zh-CN"/>
            </w:rPr>
            <w:t>目录</w:t>
          </w:r>
        </w:p>
        <w:p>
          <w:pPr>
            <w:rPr>
              <w:lang w:val="zh-CN"/>
            </w:rPr>
          </w:pPr>
        </w:p>
        <w:p>
          <w:pPr>
            <w:pStyle w:val="17"/>
            <w:tabs>
              <w:tab w:val="right" w:leader="dot" w:pos="8296"/>
            </w:tabs>
            <w:spacing w:line="360" w:lineRule="auto"/>
            <w:rPr>
              <w:rFonts w:eastAsiaTheme="minorEastAsia" w:cstheme="minorBidi"/>
              <w:b w:val="0"/>
              <w:bCs w:val="0"/>
              <w:smallCaps w:val="0"/>
              <w:sz w:val="24"/>
              <w:szCs w:val="24"/>
            </w:rPr>
          </w:pPr>
          <w:r>
            <w:fldChar w:fldCharType="begin"/>
          </w:r>
          <w:r>
            <w:instrText xml:space="preserve"> TOC \o "1-3" \h \z \u </w:instrText>
          </w:r>
          <w:r>
            <w:fldChar w:fldCharType="separate"/>
          </w:r>
          <w:r>
            <w:fldChar w:fldCharType="begin"/>
          </w:r>
          <w:r>
            <w:instrText xml:space="preserve"> HYPERLINK \l "_Toc14445832" </w:instrText>
          </w:r>
          <w:r>
            <w:fldChar w:fldCharType="separate"/>
          </w:r>
          <w:r>
            <w:rPr>
              <w:rStyle w:val="22"/>
              <w:sz w:val="24"/>
              <w:szCs w:val="24"/>
            </w:rPr>
            <w:t>一、系统简介</w:t>
          </w:r>
          <w:r>
            <w:rPr>
              <w:sz w:val="24"/>
              <w:szCs w:val="24"/>
            </w:rPr>
            <w:tab/>
          </w:r>
          <w:r>
            <w:rPr>
              <w:sz w:val="24"/>
              <w:szCs w:val="24"/>
            </w:rPr>
            <w:fldChar w:fldCharType="begin"/>
          </w:r>
          <w:r>
            <w:rPr>
              <w:sz w:val="24"/>
              <w:szCs w:val="24"/>
            </w:rPr>
            <w:instrText xml:space="preserve"> PAGEREF _Toc14445832 \h </w:instrText>
          </w:r>
          <w:r>
            <w:rPr>
              <w:sz w:val="24"/>
              <w:szCs w:val="24"/>
            </w:rPr>
            <w:fldChar w:fldCharType="separate"/>
          </w:r>
          <w:r>
            <w:rPr>
              <w:sz w:val="24"/>
              <w:szCs w:val="24"/>
            </w:rPr>
            <w:t>1</w:t>
          </w:r>
          <w:r>
            <w:rPr>
              <w:sz w:val="24"/>
              <w:szCs w:val="24"/>
            </w:rPr>
            <w:fldChar w:fldCharType="end"/>
          </w:r>
          <w:r>
            <w:rPr>
              <w:sz w:val="24"/>
              <w:szCs w:val="24"/>
            </w:rPr>
            <w:fldChar w:fldCharType="end"/>
          </w:r>
        </w:p>
        <w:p>
          <w:pPr>
            <w:pStyle w:val="9"/>
            <w:tabs>
              <w:tab w:val="right" w:leader="dot" w:pos="8296"/>
            </w:tabs>
            <w:spacing w:line="360" w:lineRule="auto"/>
            <w:rPr>
              <w:rFonts w:eastAsiaTheme="minorEastAsia" w:cstheme="minorBidi"/>
              <w:smallCaps w:val="0"/>
              <w:sz w:val="24"/>
              <w:szCs w:val="24"/>
            </w:rPr>
          </w:pPr>
          <w:r>
            <w:fldChar w:fldCharType="begin"/>
          </w:r>
          <w:r>
            <w:instrText xml:space="preserve"> HYPERLINK \l "_Toc14445833" </w:instrText>
          </w:r>
          <w:r>
            <w:fldChar w:fldCharType="separate"/>
          </w:r>
          <w:r>
            <w:rPr>
              <w:rStyle w:val="22"/>
              <w:sz w:val="24"/>
              <w:szCs w:val="24"/>
            </w:rPr>
            <w:t>1．简介</w:t>
          </w:r>
          <w:r>
            <w:rPr>
              <w:sz w:val="24"/>
              <w:szCs w:val="24"/>
            </w:rPr>
            <w:tab/>
          </w:r>
          <w:r>
            <w:rPr>
              <w:sz w:val="24"/>
              <w:szCs w:val="24"/>
            </w:rPr>
            <w:fldChar w:fldCharType="begin"/>
          </w:r>
          <w:r>
            <w:rPr>
              <w:sz w:val="24"/>
              <w:szCs w:val="24"/>
            </w:rPr>
            <w:instrText xml:space="preserve"> PAGEREF _Toc14445833 \h </w:instrText>
          </w:r>
          <w:r>
            <w:rPr>
              <w:sz w:val="24"/>
              <w:szCs w:val="24"/>
            </w:rPr>
            <w:fldChar w:fldCharType="separate"/>
          </w:r>
          <w:r>
            <w:rPr>
              <w:sz w:val="24"/>
              <w:szCs w:val="24"/>
            </w:rPr>
            <w:t>1</w:t>
          </w:r>
          <w:r>
            <w:rPr>
              <w:sz w:val="24"/>
              <w:szCs w:val="24"/>
            </w:rPr>
            <w:fldChar w:fldCharType="end"/>
          </w:r>
          <w:r>
            <w:rPr>
              <w:sz w:val="24"/>
              <w:szCs w:val="24"/>
            </w:rPr>
            <w:fldChar w:fldCharType="end"/>
          </w:r>
        </w:p>
        <w:p>
          <w:pPr>
            <w:pStyle w:val="9"/>
            <w:tabs>
              <w:tab w:val="right" w:leader="dot" w:pos="8296"/>
            </w:tabs>
            <w:spacing w:line="360" w:lineRule="auto"/>
            <w:rPr>
              <w:rFonts w:eastAsiaTheme="minorEastAsia" w:cstheme="minorBidi"/>
              <w:smallCaps w:val="0"/>
              <w:sz w:val="24"/>
              <w:szCs w:val="24"/>
            </w:rPr>
          </w:pPr>
          <w:r>
            <w:fldChar w:fldCharType="begin"/>
          </w:r>
          <w:r>
            <w:instrText xml:space="preserve"> HYPERLINK \l "_Toc14445834" </w:instrText>
          </w:r>
          <w:r>
            <w:fldChar w:fldCharType="separate"/>
          </w:r>
          <w:r>
            <w:rPr>
              <w:rStyle w:val="22"/>
              <w:sz w:val="24"/>
              <w:szCs w:val="24"/>
            </w:rPr>
            <w:t>2．关键技术</w:t>
          </w:r>
          <w:r>
            <w:rPr>
              <w:sz w:val="24"/>
              <w:szCs w:val="24"/>
            </w:rPr>
            <w:tab/>
          </w:r>
          <w:r>
            <w:rPr>
              <w:sz w:val="24"/>
              <w:szCs w:val="24"/>
            </w:rPr>
            <w:fldChar w:fldCharType="begin"/>
          </w:r>
          <w:r>
            <w:rPr>
              <w:sz w:val="24"/>
              <w:szCs w:val="24"/>
            </w:rPr>
            <w:instrText xml:space="preserve"> PAGEREF _Toc14445834 \h </w:instrText>
          </w:r>
          <w:r>
            <w:rPr>
              <w:sz w:val="24"/>
              <w:szCs w:val="24"/>
            </w:rPr>
            <w:fldChar w:fldCharType="separate"/>
          </w:r>
          <w:r>
            <w:rPr>
              <w:sz w:val="24"/>
              <w:szCs w:val="24"/>
            </w:rPr>
            <w:t>1</w:t>
          </w:r>
          <w:r>
            <w:rPr>
              <w:sz w:val="24"/>
              <w:szCs w:val="24"/>
            </w:rPr>
            <w:fldChar w:fldCharType="end"/>
          </w:r>
          <w:r>
            <w:rPr>
              <w:sz w:val="24"/>
              <w:szCs w:val="24"/>
            </w:rPr>
            <w:fldChar w:fldCharType="end"/>
          </w:r>
        </w:p>
        <w:p>
          <w:pPr>
            <w:pStyle w:val="17"/>
            <w:tabs>
              <w:tab w:val="right" w:leader="dot" w:pos="8296"/>
            </w:tabs>
            <w:spacing w:line="360" w:lineRule="auto"/>
            <w:rPr>
              <w:rFonts w:eastAsiaTheme="minorEastAsia" w:cstheme="minorBidi"/>
              <w:b w:val="0"/>
              <w:bCs w:val="0"/>
              <w:smallCaps w:val="0"/>
              <w:sz w:val="24"/>
              <w:szCs w:val="24"/>
            </w:rPr>
          </w:pPr>
          <w:r>
            <w:fldChar w:fldCharType="begin"/>
          </w:r>
          <w:r>
            <w:instrText xml:space="preserve"> HYPERLINK \l "_Toc14445835" </w:instrText>
          </w:r>
          <w:r>
            <w:fldChar w:fldCharType="separate"/>
          </w:r>
          <w:r>
            <w:rPr>
              <w:rStyle w:val="22"/>
              <w:sz w:val="24"/>
              <w:szCs w:val="24"/>
            </w:rPr>
            <w:t>二、系统操作</w:t>
          </w:r>
          <w:r>
            <w:rPr>
              <w:sz w:val="24"/>
              <w:szCs w:val="24"/>
            </w:rPr>
            <w:tab/>
          </w:r>
          <w:r>
            <w:rPr>
              <w:sz w:val="24"/>
              <w:szCs w:val="24"/>
            </w:rPr>
            <w:fldChar w:fldCharType="begin"/>
          </w:r>
          <w:r>
            <w:rPr>
              <w:sz w:val="24"/>
              <w:szCs w:val="24"/>
            </w:rPr>
            <w:instrText xml:space="preserve"> PAGEREF _Toc14445835 \h </w:instrText>
          </w:r>
          <w:r>
            <w:rPr>
              <w:sz w:val="24"/>
              <w:szCs w:val="24"/>
            </w:rPr>
            <w:fldChar w:fldCharType="separate"/>
          </w:r>
          <w:r>
            <w:rPr>
              <w:sz w:val="24"/>
              <w:szCs w:val="24"/>
            </w:rPr>
            <w:t>3</w:t>
          </w:r>
          <w:r>
            <w:rPr>
              <w:sz w:val="24"/>
              <w:szCs w:val="24"/>
            </w:rPr>
            <w:fldChar w:fldCharType="end"/>
          </w:r>
          <w:r>
            <w:rPr>
              <w:sz w:val="24"/>
              <w:szCs w:val="24"/>
            </w:rPr>
            <w:fldChar w:fldCharType="end"/>
          </w:r>
        </w:p>
        <w:p>
          <w:pPr>
            <w:pStyle w:val="17"/>
            <w:tabs>
              <w:tab w:val="right" w:leader="dot" w:pos="8296"/>
            </w:tabs>
            <w:spacing w:line="360" w:lineRule="auto"/>
            <w:rPr>
              <w:rFonts w:eastAsiaTheme="minorEastAsia" w:cstheme="minorBidi"/>
              <w:b w:val="0"/>
              <w:bCs w:val="0"/>
              <w:smallCaps w:val="0"/>
              <w:sz w:val="24"/>
              <w:szCs w:val="24"/>
            </w:rPr>
          </w:pPr>
          <w:r>
            <w:fldChar w:fldCharType="begin"/>
          </w:r>
          <w:r>
            <w:instrText xml:space="preserve"> HYPERLINK \l "_Toc14445836" </w:instrText>
          </w:r>
          <w:r>
            <w:fldChar w:fldCharType="separate"/>
          </w:r>
          <w:r>
            <w:rPr>
              <w:rStyle w:val="22"/>
              <w:sz w:val="24"/>
              <w:szCs w:val="24"/>
            </w:rPr>
            <w:t>三、实验介绍</w:t>
          </w:r>
          <w:r>
            <w:rPr>
              <w:sz w:val="24"/>
              <w:szCs w:val="24"/>
            </w:rPr>
            <w:tab/>
          </w:r>
          <w:r>
            <w:rPr>
              <w:sz w:val="24"/>
              <w:szCs w:val="24"/>
            </w:rPr>
            <w:fldChar w:fldCharType="begin"/>
          </w:r>
          <w:r>
            <w:rPr>
              <w:sz w:val="24"/>
              <w:szCs w:val="24"/>
            </w:rPr>
            <w:instrText xml:space="preserve"> PAGEREF _Toc14445836 \h </w:instrText>
          </w:r>
          <w:r>
            <w:rPr>
              <w:sz w:val="24"/>
              <w:szCs w:val="24"/>
            </w:rPr>
            <w:fldChar w:fldCharType="separate"/>
          </w:r>
          <w:r>
            <w:rPr>
              <w:sz w:val="24"/>
              <w:szCs w:val="24"/>
            </w:rPr>
            <w:t xml:space="preserve">3 </w:t>
          </w:r>
          <w:r>
            <w:rPr>
              <w:sz w:val="24"/>
              <w:szCs w:val="24"/>
            </w:rPr>
            <w:fldChar w:fldCharType="end"/>
          </w:r>
          <w:r>
            <w:rPr>
              <w:sz w:val="24"/>
              <w:szCs w:val="24"/>
            </w:rPr>
            <w:fldChar w:fldCharType="end"/>
          </w:r>
        </w:p>
        <w:p>
          <w:pPr>
            <w:pStyle w:val="9"/>
            <w:tabs>
              <w:tab w:val="right" w:leader="dot" w:pos="8296"/>
            </w:tabs>
            <w:spacing w:line="360" w:lineRule="auto"/>
            <w:rPr>
              <w:rFonts w:eastAsiaTheme="minorEastAsia" w:cstheme="minorBidi"/>
              <w:smallCaps w:val="0"/>
              <w:sz w:val="24"/>
              <w:szCs w:val="24"/>
            </w:rPr>
          </w:pPr>
          <w:r>
            <w:fldChar w:fldCharType="begin"/>
          </w:r>
          <w:r>
            <w:instrText xml:space="preserve"> HYPERLINK \l "_Toc14445837" </w:instrText>
          </w:r>
          <w:r>
            <w:fldChar w:fldCharType="separate"/>
          </w:r>
          <w:r>
            <w:rPr>
              <w:rStyle w:val="22"/>
              <w:sz w:val="24"/>
              <w:szCs w:val="24"/>
            </w:rPr>
            <w:t>1．实验目的</w:t>
          </w:r>
          <w:r>
            <w:rPr>
              <w:sz w:val="24"/>
              <w:szCs w:val="24"/>
            </w:rPr>
            <w:tab/>
          </w:r>
          <w:r>
            <w:rPr>
              <w:sz w:val="24"/>
              <w:szCs w:val="24"/>
            </w:rPr>
            <w:fldChar w:fldCharType="begin"/>
          </w:r>
          <w:r>
            <w:rPr>
              <w:sz w:val="24"/>
              <w:szCs w:val="24"/>
            </w:rPr>
            <w:instrText xml:space="preserve"> PAGEREF _Toc14445837 \h </w:instrText>
          </w:r>
          <w:r>
            <w:rPr>
              <w:sz w:val="24"/>
              <w:szCs w:val="24"/>
            </w:rPr>
            <w:fldChar w:fldCharType="separate"/>
          </w:r>
          <w:r>
            <w:rPr>
              <w:sz w:val="24"/>
              <w:szCs w:val="24"/>
            </w:rPr>
            <w:t xml:space="preserve">3 </w:t>
          </w:r>
          <w:r>
            <w:rPr>
              <w:sz w:val="24"/>
              <w:szCs w:val="24"/>
            </w:rPr>
            <w:fldChar w:fldCharType="end"/>
          </w:r>
          <w:r>
            <w:rPr>
              <w:sz w:val="24"/>
              <w:szCs w:val="24"/>
            </w:rPr>
            <w:fldChar w:fldCharType="end"/>
          </w:r>
        </w:p>
        <w:p>
          <w:pPr>
            <w:pStyle w:val="9"/>
            <w:tabs>
              <w:tab w:val="right" w:leader="dot" w:pos="8296"/>
            </w:tabs>
            <w:spacing w:line="360" w:lineRule="auto"/>
            <w:rPr>
              <w:rFonts w:eastAsiaTheme="minorEastAsia" w:cstheme="minorBidi"/>
              <w:smallCaps w:val="0"/>
              <w:sz w:val="24"/>
              <w:szCs w:val="24"/>
            </w:rPr>
          </w:pPr>
          <w:r>
            <w:fldChar w:fldCharType="begin"/>
          </w:r>
          <w:r>
            <w:instrText xml:space="preserve"> HYPERLINK \l "_Toc14445838" </w:instrText>
          </w:r>
          <w:r>
            <w:fldChar w:fldCharType="separate"/>
          </w:r>
          <w:r>
            <w:rPr>
              <w:rStyle w:val="22"/>
              <w:rFonts w:asciiTheme="minorEastAsia" w:hAnsiTheme="minorEastAsia"/>
              <w:sz w:val="24"/>
              <w:szCs w:val="24"/>
            </w:rPr>
            <w:t>2</w:t>
          </w:r>
          <w:r>
            <w:rPr>
              <w:rStyle w:val="22"/>
              <w:sz w:val="24"/>
              <w:szCs w:val="24"/>
            </w:rPr>
            <w:t>．实验材料</w:t>
          </w:r>
          <w:r>
            <w:rPr>
              <w:sz w:val="24"/>
              <w:szCs w:val="24"/>
            </w:rPr>
            <w:tab/>
          </w:r>
          <w:r>
            <w:rPr>
              <w:sz w:val="24"/>
              <w:szCs w:val="24"/>
            </w:rPr>
            <w:fldChar w:fldCharType="begin"/>
          </w:r>
          <w:r>
            <w:rPr>
              <w:sz w:val="24"/>
              <w:szCs w:val="24"/>
            </w:rPr>
            <w:instrText xml:space="preserve"> PAGEREF _Toc14445838 \h </w:instrText>
          </w:r>
          <w:r>
            <w:rPr>
              <w:sz w:val="24"/>
              <w:szCs w:val="24"/>
            </w:rPr>
            <w:fldChar w:fldCharType="separate"/>
          </w:r>
          <w:r>
            <w:rPr>
              <w:sz w:val="24"/>
              <w:szCs w:val="24"/>
            </w:rPr>
            <w:t>4</w:t>
          </w:r>
          <w:r>
            <w:rPr>
              <w:sz w:val="24"/>
              <w:szCs w:val="24"/>
            </w:rPr>
            <w:fldChar w:fldCharType="end"/>
          </w:r>
          <w:r>
            <w:rPr>
              <w:sz w:val="24"/>
              <w:szCs w:val="24"/>
            </w:rPr>
            <w:fldChar w:fldCharType="end"/>
          </w:r>
        </w:p>
        <w:p>
          <w:pPr>
            <w:pStyle w:val="9"/>
            <w:tabs>
              <w:tab w:val="right" w:leader="dot" w:pos="8296"/>
            </w:tabs>
            <w:spacing w:line="360" w:lineRule="auto"/>
            <w:rPr>
              <w:rFonts w:eastAsiaTheme="minorEastAsia" w:cstheme="minorBidi"/>
              <w:smallCaps w:val="0"/>
              <w:sz w:val="24"/>
              <w:szCs w:val="24"/>
            </w:rPr>
          </w:pPr>
          <w:r>
            <w:fldChar w:fldCharType="begin"/>
          </w:r>
          <w:r>
            <w:instrText xml:space="preserve"> HYPERLINK \l "_Toc14445839" </w:instrText>
          </w:r>
          <w:r>
            <w:fldChar w:fldCharType="separate"/>
          </w:r>
          <w:r>
            <w:rPr>
              <w:rStyle w:val="22"/>
              <w:sz w:val="24"/>
              <w:szCs w:val="24"/>
            </w:rPr>
            <w:t>3．实验内容</w:t>
          </w:r>
          <w:r>
            <w:rPr>
              <w:sz w:val="24"/>
              <w:szCs w:val="24"/>
            </w:rPr>
            <w:tab/>
          </w:r>
          <w:r>
            <w:rPr>
              <w:sz w:val="24"/>
              <w:szCs w:val="24"/>
            </w:rPr>
            <w:fldChar w:fldCharType="begin"/>
          </w:r>
          <w:r>
            <w:rPr>
              <w:sz w:val="24"/>
              <w:szCs w:val="24"/>
            </w:rPr>
            <w:instrText xml:space="preserve"> PAGEREF _Toc14445839 \h </w:instrText>
          </w:r>
          <w:r>
            <w:rPr>
              <w:sz w:val="24"/>
              <w:szCs w:val="24"/>
            </w:rPr>
            <w:fldChar w:fldCharType="separate"/>
          </w:r>
          <w:r>
            <w:rPr>
              <w:sz w:val="24"/>
              <w:szCs w:val="24"/>
            </w:rPr>
            <w:t>4</w:t>
          </w:r>
          <w:r>
            <w:rPr>
              <w:sz w:val="24"/>
              <w:szCs w:val="24"/>
            </w:rPr>
            <w:fldChar w:fldCharType="end"/>
          </w:r>
          <w:r>
            <w:rPr>
              <w:sz w:val="24"/>
              <w:szCs w:val="24"/>
            </w:rPr>
            <w:fldChar w:fldCharType="end"/>
          </w:r>
        </w:p>
        <w:p>
          <w:pPr>
            <w:spacing w:line="360" w:lineRule="auto"/>
          </w:pPr>
          <w:r>
            <w:rPr>
              <w:bCs/>
              <w:lang w:val="zh-CN"/>
            </w:rPr>
            <w:fldChar w:fldCharType="end"/>
          </w:r>
        </w:p>
      </w:sdtContent>
    </w:sdt>
    <w:p>
      <w:pPr>
        <w:spacing w:line="360" w:lineRule="auto"/>
      </w:pPr>
    </w:p>
    <w:p>
      <w:pPr>
        <w:tabs>
          <w:tab w:val="left" w:pos="3676"/>
        </w:tabs>
        <w:spacing w:line="360" w:lineRule="auto"/>
      </w:pPr>
      <w:r>
        <w:tab/>
      </w: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pStyle w:val="3"/>
        <w:sectPr>
          <w:headerReference r:id="rId3" w:type="default"/>
          <w:footerReference r:id="rId4" w:type="default"/>
          <w:pgSz w:w="11906" w:h="16838"/>
          <w:pgMar w:top="1440" w:right="1800" w:bottom="1440" w:left="1800" w:header="851" w:footer="992" w:gutter="0"/>
          <w:pgNumType w:start="1"/>
          <w:cols w:space="425" w:num="1"/>
          <w:docGrid w:type="lines" w:linePitch="312" w:charSpace="0"/>
        </w:sectPr>
      </w:pPr>
    </w:p>
    <w:p>
      <w:pPr>
        <w:pStyle w:val="3"/>
      </w:pPr>
      <w:bookmarkStart w:id="3" w:name="_Toc14445832"/>
      <w:r>
        <w:rPr>
          <w:rFonts w:hint="eastAsia"/>
        </w:rPr>
        <w:t>一、系统简介</w:t>
      </w:r>
      <w:bookmarkEnd w:id="2"/>
      <w:bookmarkEnd w:id="3"/>
    </w:p>
    <w:p>
      <w:pPr>
        <w:pStyle w:val="4"/>
        <w:spacing w:after="0" w:line="360" w:lineRule="auto"/>
      </w:pPr>
      <w:bookmarkStart w:id="4" w:name="_Toc14445833"/>
      <w:bookmarkStart w:id="5" w:name="_Toc469493407"/>
      <w:r>
        <w:rPr>
          <w:rFonts w:hint="eastAsia"/>
        </w:rPr>
        <w:t>1．简介</w:t>
      </w:r>
      <w:bookmarkEnd w:id="4"/>
      <w:bookmarkEnd w:id="5"/>
    </w:p>
    <w:p>
      <w:pPr>
        <w:spacing w:beforeLines="50" w:line="360" w:lineRule="auto"/>
        <w:ind w:firstLine="420" w:firstLineChars="200"/>
        <w:rPr>
          <w:kern w:val="0"/>
          <w:szCs w:val="21"/>
        </w:rPr>
      </w:pPr>
      <w:r>
        <w:rPr>
          <w:rFonts w:hint="eastAsia"/>
          <w:kern w:val="0"/>
          <w:szCs w:val="21"/>
        </w:rPr>
        <w:t>现代武器装备中机电一体化技术的应用越来越广，随着各类新型武器装备的不断列装部队，迫切需要大批掌握有关机电一体化技术的新型军事人才，迫切需要大量有关新型武器装备的教学训练设备。</w:t>
      </w:r>
      <w:r>
        <w:rPr>
          <w:rFonts w:hint="eastAsia"/>
          <w:szCs w:val="21"/>
        </w:rPr>
        <w:t>本项目是针对高等院校本科实验课程配套开发的可在网上开展的虚拟仿真实验，采用虚拟仿真的形式模拟实验中用到的器材和设备，提供与真实实验相似的实验环境，提供网上实验教学过程管理功能，包括：典型实验库的维护、实验安排、提交实验报告、实验报告批改、成绩统计、实验答疑等功能模块。可满足高等院校及有关培训机构实验教学环节的需要，尤其适用于远程教学。</w:t>
      </w:r>
    </w:p>
    <w:p>
      <w:pPr>
        <w:spacing w:beforeLines="50" w:line="360" w:lineRule="auto"/>
        <w:ind w:firstLine="420" w:firstLineChars="200"/>
        <w:rPr>
          <w:szCs w:val="21"/>
        </w:rPr>
      </w:pPr>
      <w:r>
        <w:rPr>
          <w:rFonts w:hint="eastAsia"/>
          <w:kern w:val="0"/>
          <w:szCs w:val="21"/>
        </w:rPr>
        <w:t>反坦克武器装备机电系统虚拟仿真综合实验是以陆战坦克对抗为背景的大型综合演练性实验，通过专项系统实践与训练，促进学员对有关机电一体化理论知识的学习与掌握，使学员理解机电系统的基本理论、概念以及在武器装备中的应用特点，熟悉反坦克武器装备机电系统各部分的组成、特性及要求等，培养对装备机电系统的分析、使用和维护能力。</w:t>
      </w:r>
    </w:p>
    <w:p>
      <w:pPr>
        <w:widowControl/>
        <w:ind w:firstLine="210" w:firstLineChars="100"/>
        <w:jc w:val="left"/>
        <w:rPr>
          <w:rFonts w:ascii="宋体" w:hAnsi="宋体" w:cs="宋体"/>
          <w:kern w:val="0"/>
          <w:sz w:val="24"/>
          <w:szCs w:val="24"/>
        </w:rPr>
      </w:pPr>
      <w:r>
        <w:drawing>
          <wp:inline distT="0" distB="0" distL="0" distR="0">
            <wp:extent cx="4966335" cy="2966085"/>
            <wp:effectExtent l="0" t="0" r="5715"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7"/>
                    <a:stretch>
                      <a:fillRect/>
                    </a:stretch>
                  </pic:blipFill>
                  <pic:spPr>
                    <a:xfrm>
                      <a:off x="0" y="0"/>
                      <a:ext cx="4979028" cy="2973355"/>
                    </a:xfrm>
                    <a:prstGeom prst="rect">
                      <a:avLst/>
                    </a:prstGeom>
                  </pic:spPr>
                </pic:pic>
              </a:graphicData>
            </a:graphic>
          </wp:inline>
        </w:drawing>
      </w:r>
    </w:p>
    <w:p>
      <w:pPr>
        <w:spacing w:afterLines="50"/>
        <w:jc w:val="center"/>
        <w:rPr>
          <w:rFonts w:eastAsia="黑体"/>
          <w:bCs/>
          <w:sz w:val="18"/>
          <w:szCs w:val="18"/>
        </w:rPr>
      </w:pPr>
      <w:r>
        <w:rPr>
          <w:rFonts w:eastAsia="黑体"/>
          <w:bCs/>
          <w:sz w:val="18"/>
          <w:szCs w:val="18"/>
        </w:rPr>
        <w:t>图1.1</w:t>
      </w:r>
      <w:r>
        <w:rPr>
          <w:rFonts w:hint="eastAsia" w:eastAsia="黑体"/>
          <w:bCs/>
          <w:sz w:val="18"/>
          <w:szCs w:val="18"/>
        </w:rPr>
        <w:t>开始实验界面示意</w:t>
      </w:r>
    </w:p>
    <w:p>
      <w:pPr>
        <w:pStyle w:val="4"/>
        <w:spacing w:after="0" w:line="360" w:lineRule="auto"/>
      </w:pPr>
      <w:bookmarkStart w:id="6" w:name="_Toc14445834"/>
      <w:bookmarkStart w:id="7" w:name="_Toc469493408"/>
      <w:r>
        <w:rPr>
          <w:rFonts w:hint="eastAsia"/>
        </w:rPr>
        <w:t>2．关键技术</w:t>
      </w:r>
      <w:bookmarkEnd w:id="6"/>
      <w:bookmarkEnd w:id="7"/>
    </w:p>
    <w:p>
      <w:pPr>
        <w:spacing w:line="360" w:lineRule="auto"/>
        <w:ind w:right="525" w:firstLine="420" w:firstLineChars="200"/>
        <w:rPr>
          <w:rFonts w:ascii="Arial" w:hAnsi="Arial" w:cs="Arial"/>
          <w:color w:val="333333"/>
          <w:szCs w:val="21"/>
          <w:shd w:val="clear" w:color="auto" w:fill="FFFFFF"/>
        </w:rPr>
      </w:pPr>
      <w:r>
        <w:rPr>
          <w:rFonts w:hint="eastAsia"/>
        </w:rPr>
        <w:t>系统采用虚拟现实技术开发而成。</w:t>
      </w:r>
      <w:r>
        <w:rPr>
          <w:rFonts w:hint="eastAsia" w:ascii="Arial" w:hAnsi="Arial" w:cs="Arial"/>
          <w:color w:val="333333"/>
          <w:szCs w:val="21"/>
          <w:shd w:val="clear" w:color="auto" w:fill="FFFFFF"/>
        </w:rPr>
        <w:t>虚拟现实</w:t>
      </w:r>
      <w:r>
        <w:rPr>
          <w:rFonts w:ascii="Arial" w:hAnsi="Arial" w:cs="Arial"/>
          <w:color w:val="333333"/>
          <w:szCs w:val="21"/>
          <w:shd w:val="clear" w:color="auto" w:fill="FFFFFF"/>
        </w:rPr>
        <w:t>是近年来出现的高新技术，</w:t>
      </w:r>
      <w:r>
        <w:rPr>
          <w:rFonts w:hint="eastAsia" w:ascii="Arial" w:hAnsi="Arial" w:cs="Arial"/>
          <w:color w:val="333333"/>
          <w:szCs w:val="21"/>
          <w:shd w:val="clear" w:color="auto" w:fill="FFFFFF"/>
        </w:rPr>
        <w:t>它</w:t>
      </w:r>
      <w:r>
        <w:rPr>
          <w:rFonts w:ascii="Arial" w:hAnsi="Arial" w:cs="Arial"/>
          <w:color w:val="333333"/>
          <w:szCs w:val="21"/>
          <w:shd w:val="clear" w:color="auto" w:fill="FFFFFF"/>
        </w:rPr>
        <w:t>利用电脑模拟产生一个</w:t>
      </w:r>
      <w:r>
        <w:fldChar w:fldCharType="begin"/>
      </w:r>
      <w:r>
        <w:instrText xml:space="preserve"> HYPERLINK "http://baike.baidu.com/view/175999.htm" \t "_blank" </w:instrText>
      </w:r>
      <w:r>
        <w:fldChar w:fldCharType="separate"/>
      </w:r>
      <w:r>
        <w:rPr>
          <w:color w:val="333333"/>
        </w:rPr>
        <w:t>三维空间</w:t>
      </w:r>
      <w:r>
        <w:rPr>
          <w:color w:val="333333"/>
        </w:rPr>
        <w:fldChar w:fldCharType="end"/>
      </w:r>
      <w:r>
        <w:rPr>
          <w:rFonts w:ascii="Arial" w:hAnsi="Arial" w:cs="Arial"/>
          <w:color w:val="333333"/>
          <w:szCs w:val="21"/>
          <w:shd w:val="clear" w:color="auto" w:fill="FFFFFF"/>
        </w:rPr>
        <w:t>的</w:t>
      </w:r>
      <w:r>
        <w:fldChar w:fldCharType="begin"/>
      </w:r>
      <w:r>
        <w:instrText xml:space="preserve"> HYPERLINK "http://baike.baidu.com/view/47107.htm" \t "_blank" </w:instrText>
      </w:r>
      <w:r>
        <w:fldChar w:fldCharType="separate"/>
      </w:r>
      <w:r>
        <w:rPr>
          <w:color w:val="333333"/>
        </w:rPr>
        <w:t>虚拟世界</w:t>
      </w:r>
      <w:r>
        <w:rPr>
          <w:color w:val="333333"/>
        </w:rPr>
        <w:fldChar w:fldCharType="end"/>
      </w:r>
      <w:r>
        <w:rPr>
          <w:rFonts w:ascii="Arial" w:hAnsi="Arial" w:cs="Arial"/>
          <w:color w:val="333333"/>
          <w:szCs w:val="21"/>
          <w:shd w:val="clear" w:color="auto" w:fill="FFFFFF"/>
        </w:rPr>
        <w:t>，提供使用者关于视觉、听觉、触觉等感官的模拟，让使用者如同身</w:t>
      </w:r>
      <w:r>
        <w:rPr>
          <w:rFonts w:hint="eastAsia" w:ascii="Arial" w:hAnsi="Arial" w:cs="Arial"/>
          <w:color w:val="333333"/>
          <w:szCs w:val="21"/>
          <w:shd w:val="clear" w:color="auto" w:fill="FFFFFF"/>
        </w:rPr>
        <w:t>临</w:t>
      </w:r>
      <w:r>
        <w:rPr>
          <w:rFonts w:ascii="Arial" w:hAnsi="Arial" w:cs="Arial"/>
          <w:color w:val="333333"/>
          <w:szCs w:val="21"/>
          <w:shd w:val="clear" w:color="auto" w:fill="FFFFFF"/>
        </w:rPr>
        <w:t>其境一般，可以及时、没有限制地观察三度空间内的事物。</w:t>
      </w:r>
    </w:p>
    <w:p>
      <w:pPr>
        <w:spacing w:line="360" w:lineRule="auto"/>
        <w:ind w:right="525" w:firstLine="420" w:firstLineChars="200"/>
        <w:jc w:val="center"/>
      </w:pPr>
      <w:r>
        <w:drawing>
          <wp:inline distT="0" distB="0" distL="0" distR="0">
            <wp:extent cx="2749550" cy="23622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2782254" cy="2390297"/>
                    </a:xfrm>
                    <a:prstGeom prst="rect">
                      <a:avLst/>
                    </a:prstGeom>
                    <a:noFill/>
                    <a:ln>
                      <a:noFill/>
                    </a:ln>
                  </pic:spPr>
                </pic:pic>
              </a:graphicData>
            </a:graphic>
          </wp:inline>
        </w:drawing>
      </w:r>
    </w:p>
    <w:p>
      <w:pPr>
        <w:spacing w:afterLines="50"/>
        <w:ind w:right="527" w:firstLine="360" w:firstLineChars="200"/>
        <w:jc w:val="center"/>
        <w:rPr>
          <w:rFonts w:eastAsia="黑体"/>
          <w:sz w:val="18"/>
          <w:szCs w:val="18"/>
        </w:rPr>
      </w:pPr>
      <w:r>
        <w:rPr>
          <w:rFonts w:eastAsia="黑体"/>
          <w:sz w:val="18"/>
          <w:szCs w:val="18"/>
        </w:rPr>
        <w:t>图1.</w:t>
      </w:r>
      <w:r>
        <w:rPr>
          <w:rFonts w:hint="eastAsia" w:eastAsia="黑体"/>
          <w:sz w:val="18"/>
          <w:szCs w:val="18"/>
        </w:rPr>
        <w:t>2</w:t>
      </w:r>
      <w:r>
        <w:rPr>
          <w:rFonts w:eastAsia="黑体"/>
          <w:sz w:val="18"/>
          <w:szCs w:val="18"/>
        </w:rPr>
        <w:t xml:space="preserve"> 虚拟现实技术示意图</w:t>
      </w:r>
    </w:p>
    <w:p>
      <w:pPr>
        <w:spacing w:beforeLines="50" w:line="360" w:lineRule="auto"/>
        <w:ind w:firstLine="420" w:firstLineChars="200"/>
        <w:rPr>
          <w:szCs w:val="21"/>
        </w:rPr>
      </w:pPr>
      <w:r>
        <w:rPr>
          <w:rFonts w:hint="eastAsia"/>
          <w:szCs w:val="21"/>
        </w:rPr>
        <w:t>目前，虚拟现实技术已经广泛应用于医学、工业设计与制造、房地产、室内设计、航空航天、教育培训等诸多领域。对教育业现今的教学方式，不再是单纯的依靠书本、教师授课的形式。</w:t>
      </w:r>
      <w:r>
        <w:fldChar w:fldCharType="begin"/>
      </w:r>
      <w:r>
        <w:instrText xml:space="preserve"> HYPERLINK "http://baike.baidu.com/view/530652.htm" \t "_blank" </w:instrText>
      </w:r>
      <w:r>
        <w:fldChar w:fldCharType="separate"/>
      </w:r>
      <w:r>
        <w:rPr>
          <w:rFonts w:hint="eastAsia"/>
          <w:szCs w:val="21"/>
        </w:rPr>
        <w:t>三维</w:t>
      </w:r>
      <w:r>
        <w:rPr>
          <w:rFonts w:hint="eastAsia"/>
          <w:szCs w:val="21"/>
        </w:rPr>
        <w:fldChar w:fldCharType="end"/>
      </w:r>
      <w:r>
        <w:rPr>
          <w:rFonts w:hint="eastAsia"/>
          <w:szCs w:val="21"/>
        </w:rPr>
        <w:t>的展现形式必然使学习过程形象化，学生更容易接受和掌握。许多实际经验告诉我们，做比听和说更能接受更多的信息。使用具有交互功能的3D课件，学生可以在实际的动手操作中得到更深的体会。航天的应用案例如下图所示：</w:t>
      </w:r>
    </w:p>
    <w:p>
      <w:pPr>
        <w:spacing w:line="360" w:lineRule="auto"/>
        <w:ind w:right="525" w:firstLine="420" w:firstLineChars="200"/>
        <w:rPr>
          <w:szCs w:val="21"/>
        </w:rPr>
      </w:pPr>
      <w:r>
        <w:rPr>
          <w:szCs w:val="21"/>
        </w:rPr>
        <w:drawing>
          <wp:inline distT="0" distB="0" distL="0" distR="0">
            <wp:extent cx="4677410" cy="2908935"/>
            <wp:effectExtent l="76200" t="76200" r="142240" b="13906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708338" cy="292845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ind w:right="527" w:firstLine="360" w:firstLineChars="200"/>
        <w:jc w:val="center"/>
        <w:rPr>
          <w:rFonts w:eastAsia="黑体"/>
          <w:sz w:val="18"/>
          <w:szCs w:val="18"/>
        </w:rPr>
      </w:pPr>
      <w:r>
        <w:rPr>
          <w:rFonts w:hint="eastAsia" w:eastAsia="黑体"/>
          <w:sz w:val="18"/>
          <w:szCs w:val="18"/>
        </w:rPr>
        <w:t>图1.3 虚拟现实技术应用案例截图</w:t>
      </w:r>
    </w:p>
    <w:p>
      <w:pPr>
        <w:spacing w:line="360" w:lineRule="auto"/>
        <w:ind w:firstLine="420" w:firstLineChars="200"/>
      </w:pPr>
      <w:r>
        <w:rPr>
          <w:rFonts w:hint="eastAsia"/>
        </w:rPr>
        <w:t>结合虚拟仿真实验教学而言，就是通过三维构建实验所学的器材和环境，使学生产生如同在现实实验室做实验的感官体验，而且该实验是完全互动的。同时，通过算法仿真真实实验的结果，达到虚拟实验培训的目的。</w:t>
      </w:r>
    </w:p>
    <w:p>
      <w:pPr>
        <w:pStyle w:val="3"/>
        <w:spacing w:after="0" w:line="360" w:lineRule="auto"/>
        <w:rPr>
          <w:rStyle w:val="27"/>
          <w:b/>
          <w:bCs w:val="0"/>
        </w:rPr>
      </w:pPr>
      <w:bookmarkStart w:id="8" w:name="_Toc469493410"/>
      <w:bookmarkStart w:id="9" w:name="_Toc14445835"/>
      <w:r>
        <w:rPr>
          <w:rStyle w:val="27"/>
          <w:rFonts w:hint="eastAsia"/>
          <w:b/>
          <w:bCs w:val="0"/>
        </w:rPr>
        <w:t>二、系统操作</w:t>
      </w:r>
      <w:bookmarkEnd w:id="8"/>
      <w:bookmarkEnd w:id="9"/>
    </w:p>
    <w:p>
      <w:pPr>
        <w:spacing w:line="360" w:lineRule="auto"/>
        <w:ind w:firstLine="420" w:firstLineChars="200"/>
        <w:rPr>
          <w:rFonts w:ascii="宋体" w:hAnsi="宋体" w:cs="宋体"/>
          <w:color w:val="000000"/>
          <w:kern w:val="0"/>
          <w:szCs w:val="21"/>
        </w:rPr>
      </w:pPr>
      <w:r>
        <w:rPr>
          <w:rFonts w:hint="eastAsia" w:ascii="宋体" w:hAnsi="宋体" w:cs="宋体"/>
          <w:color w:val="000000"/>
          <w:kern w:val="0"/>
          <w:szCs w:val="21"/>
        </w:rPr>
        <w:t>系统操作非常简单便捷，如同操作任何多媒体软件一样，使用者通过鼠标、键盘的交互操作即可实现控制虚拟人物的动作、实验视角的转换、设备的操作等，“所见即所得”地显示出操作后的结果。</w:t>
      </w:r>
      <w:r>
        <w:rPr>
          <w:rFonts w:hint="eastAsia"/>
          <w:kern w:val="0"/>
          <w:szCs w:val="21"/>
        </w:rPr>
        <w:t>用户可以在虚拟实验室场景中自由漫游，可以任意视角任意距离进行场景现象的观察与操作。</w:t>
      </w:r>
    </w:p>
    <w:p>
      <w:pPr>
        <w:spacing w:line="360" w:lineRule="auto"/>
        <w:jc w:val="center"/>
      </w:pPr>
      <w:r>
        <w:drawing>
          <wp:inline distT="0" distB="0" distL="0" distR="0">
            <wp:extent cx="4883150" cy="284670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4906898" cy="2860211"/>
                    </a:xfrm>
                    <a:prstGeom prst="rect">
                      <a:avLst/>
                    </a:prstGeom>
                  </pic:spPr>
                </pic:pic>
              </a:graphicData>
            </a:graphic>
          </wp:inline>
        </w:drawing>
      </w:r>
    </w:p>
    <w:p>
      <w:pPr>
        <w:spacing w:afterLines="50"/>
        <w:jc w:val="center"/>
        <w:rPr>
          <w:rFonts w:eastAsia="黑体"/>
          <w:sz w:val="18"/>
          <w:szCs w:val="18"/>
        </w:rPr>
      </w:pPr>
      <w:r>
        <w:rPr>
          <w:rFonts w:eastAsia="黑体"/>
          <w:sz w:val="18"/>
          <w:szCs w:val="18"/>
        </w:rPr>
        <w:t>图2.1 系统操作帮助示意图</w:t>
      </w:r>
      <w:bookmarkStart w:id="10" w:name="_Toc469493411"/>
    </w:p>
    <w:bookmarkEnd w:id="10"/>
    <w:p>
      <w:pPr>
        <w:pStyle w:val="3"/>
        <w:spacing w:after="0" w:line="360" w:lineRule="auto"/>
        <w:rPr>
          <w:bCs w:val="0"/>
        </w:rPr>
      </w:pPr>
      <w:bookmarkStart w:id="11" w:name="_Toc14445836"/>
      <w:r>
        <w:rPr>
          <w:rStyle w:val="27"/>
          <w:rFonts w:hint="eastAsia"/>
          <w:b/>
          <w:bCs w:val="0"/>
        </w:rPr>
        <w:t>三、反坦克武器装备机电系统虚拟仿真综合实验介绍</w:t>
      </w:r>
      <w:bookmarkEnd w:id="11"/>
    </w:p>
    <w:p>
      <w:pPr>
        <w:pStyle w:val="4"/>
      </w:pPr>
      <w:bookmarkStart w:id="12" w:name="_Toc14445837"/>
      <w:r>
        <w:t>1</w:t>
      </w:r>
      <w:r>
        <w:rPr>
          <w:rFonts w:hint="eastAsia"/>
        </w:rPr>
        <w:t>．实验目的</w:t>
      </w:r>
      <w:bookmarkEnd w:id="12"/>
    </w:p>
    <w:p>
      <w:pPr>
        <w:spacing w:line="360" w:lineRule="auto"/>
        <w:ind w:firstLine="420" w:firstLineChars="200"/>
        <w:rPr>
          <w:rFonts w:asciiTheme="minorEastAsia" w:hAnsiTheme="minorEastAsia" w:eastAsiaTheme="minorEastAsia"/>
          <w:szCs w:val="21"/>
        </w:rPr>
      </w:pPr>
      <w:r>
        <w:rPr>
          <w:rFonts w:asciiTheme="minorEastAsia" w:hAnsiTheme="minorEastAsia" w:eastAsiaTheme="minorEastAsia"/>
          <w:color w:val="000000"/>
          <w:szCs w:val="21"/>
        </w:rPr>
        <w:fldChar w:fldCharType="begin"/>
      </w:r>
      <w:r>
        <w:rPr>
          <w:rFonts w:asciiTheme="minorEastAsia" w:hAnsiTheme="minorEastAsia" w:eastAsiaTheme="minorEastAsia"/>
          <w:color w:val="000000"/>
          <w:szCs w:val="21"/>
        </w:rPr>
        <w:instrText xml:space="preserve"> </w:instrText>
      </w:r>
      <w:r>
        <w:rPr>
          <w:rFonts w:hint="eastAsia" w:asciiTheme="minorEastAsia" w:hAnsiTheme="minorEastAsia" w:eastAsiaTheme="minorEastAsia"/>
          <w:color w:val="000000"/>
          <w:szCs w:val="21"/>
        </w:rPr>
        <w:instrText xml:space="preserve">= 1 \* GB3</w:instrText>
      </w:r>
      <w:r>
        <w:rPr>
          <w:rFonts w:asciiTheme="minorEastAsia" w:hAnsiTheme="minorEastAsia" w:eastAsiaTheme="minorEastAsia"/>
          <w:color w:val="000000"/>
          <w:szCs w:val="21"/>
        </w:rPr>
        <w:instrText xml:space="preserve"> </w:instrText>
      </w:r>
      <w:r>
        <w:rPr>
          <w:rFonts w:asciiTheme="minorEastAsia" w:hAnsiTheme="minorEastAsia" w:eastAsiaTheme="minorEastAsia"/>
          <w:color w:val="000000"/>
          <w:szCs w:val="21"/>
        </w:rPr>
        <w:fldChar w:fldCharType="separate"/>
      </w:r>
      <w:r>
        <w:rPr>
          <w:rFonts w:hint="eastAsia" w:asciiTheme="minorEastAsia" w:hAnsiTheme="minorEastAsia" w:eastAsiaTheme="minorEastAsia"/>
          <w:color w:val="000000"/>
          <w:szCs w:val="21"/>
        </w:rPr>
        <w:t>①</w:t>
      </w:r>
      <w:r>
        <w:rPr>
          <w:rFonts w:asciiTheme="minorEastAsia" w:hAnsiTheme="minorEastAsia" w:eastAsiaTheme="minorEastAsia"/>
          <w:color w:val="000000"/>
          <w:szCs w:val="21"/>
        </w:rPr>
        <w:fldChar w:fldCharType="end"/>
      </w:r>
      <w:r>
        <w:rPr>
          <w:rFonts w:asciiTheme="minorEastAsia" w:hAnsiTheme="minorEastAsia" w:eastAsiaTheme="minorEastAsia"/>
          <w:color w:val="000000"/>
          <w:szCs w:val="21"/>
        </w:rPr>
        <w:t xml:space="preserve"> </w:t>
      </w:r>
      <w:r>
        <w:rPr>
          <w:rFonts w:hint="eastAsia" w:asciiTheme="minorEastAsia" w:hAnsiTheme="minorEastAsia" w:eastAsiaTheme="minorEastAsia"/>
          <w:szCs w:val="21"/>
        </w:rPr>
        <w:t>掌握有关典型机械传动装置、伺服元件、检测与控制器件的原理构造、技术特性及使用要求；</w:t>
      </w:r>
    </w:p>
    <w:p>
      <w:pPr>
        <w:spacing w:line="360" w:lineRule="auto"/>
        <w:ind w:firstLine="420" w:firstLineChars="200"/>
        <w:rPr>
          <w:rFonts w:asciiTheme="minorEastAsia" w:hAnsiTheme="minorEastAsia" w:eastAsiaTheme="minorEastAsia"/>
          <w:szCs w:val="21"/>
        </w:rPr>
      </w:pPr>
      <w:r>
        <w:rPr>
          <w:rFonts w:asciiTheme="minorEastAsia" w:hAnsiTheme="minorEastAsia" w:eastAsiaTheme="minorEastAsia"/>
          <w:szCs w:val="21"/>
        </w:rPr>
        <w:fldChar w:fldCharType="begin"/>
      </w:r>
      <w:r>
        <w:rPr>
          <w:rFonts w:asciiTheme="minorEastAsia" w:hAnsiTheme="minorEastAsia" w:eastAsiaTheme="minorEastAsia"/>
          <w:szCs w:val="21"/>
        </w:rPr>
        <w:instrText xml:space="preserve"> </w:instrText>
      </w:r>
      <w:r>
        <w:rPr>
          <w:rFonts w:hint="eastAsia" w:asciiTheme="minorEastAsia" w:hAnsiTheme="minorEastAsia" w:eastAsiaTheme="minorEastAsia"/>
          <w:szCs w:val="21"/>
        </w:rPr>
        <w:instrText xml:space="preserve">= 2 \* GB3</w:instrText>
      </w:r>
      <w:r>
        <w:rPr>
          <w:rFonts w:asciiTheme="minorEastAsia" w:hAnsiTheme="minorEastAsia" w:eastAsiaTheme="minorEastAsia"/>
          <w:szCs w:val="21"/>
        </w:rPr>
        <w:instrText xml:space="preserve"> </w:instrText>
      </w:r>
      <w:r>
        <w:rPr>
          <w:rFonts w:asciiTheme="minorEastAsia" w:hAnsiTheme="minorEastAsia" w:eastAsiaTheme="minorEastAsia"/>
          <w:szCs w:val="21"/>
        </w:rPr>
        <w:fldChar w:fldCharType="separate"/>
      </w:r>
      <w:r>
        <w:rPr>
          <w:rFonts w:hint="eastAsia" w:asciiTheme="minorEastAsia" w:hAnsiTheme="minorEastAsia" w:eastAsiaTheme="minorEastAsia"/>
          <w:szCs w:val="21"/>
        </w:rPr>
        <w:t>②</w:t>
      </w:r>
      <w:r>
        <w:rPr>
          <w:rFonts w:asciiTheme="minorEastAsia" w:hAnsiTheme="minorEastAsia" w:eastAsiaTheme="minorEastAsia"/>
          <w:szCs w:val="21"/>
        </w:rPr>
        <w:fldChar w:fldCharType="end"/>
      </w:r>
      <w:r>
        <w:rPr>
          <w:rFonts w:asciiTheme="minorEastAsia" w:hAnsiTheme="minorEastAsia" w:eastAsiaTheme="minorEastAsia"/>
          <w:szCs w:val="21"/>
        </w:rPr>
        <w:t xml:space="preserve"> </w:t>
      </w:r>
      <w:r>
        <w:rPr>
          <w:rFonts w:hint="eastAsia" w:asciiTheme="minorEastAsia" w:hAnsiTheme="minorEastAsia" w:eastAsiaTheme="minorEastAsia"/>
          <w:szCs w:val="21"/>
        </w:rPr>
        <w:t>掌握典型装备机电系统的工作原理与结构组成，以及有关技术性能参数与要求；</w:t>
      </w:r>
    </w:p>
    <w:p>
      <w:pPr>
        <w:spacing w:line="360" w:lineRule="auto"/>
        <w:ind w:firstLine="420" w:firstLineChars="200"/>
        <w:rPr>
          <w:rFonts w:asciiTheme="minorEastAsia" w:hAnsiTheme="minorEastAsia" w:eastAsiaTheme="minorEastAsia"/>
          <w:szCs w:val="21"/>
        </w:rPr>
      </w:pPr>
      <w:r>
        <w:rPr>
          <w:rFonts w:asciiTheme="minorEastAsia" w:hAnsiTheme="minorEastAsia" w:eastAsiaTheme="minorEastAsia"/>
          <w:szCs w:val="21"/>
        </w:rPr>
        <w:fldChar w:fldCharType="begin"/>
      </w:r>
      <w:r>
        <w:rPr>
          <w:rFonts w:asciiTheme="minorEastAsia" w:hAnsiTheme="minorEastAsia" w:eastAsiaTheme="minorEastAsia"/>
          <w:szCs w:val="21"/>
        </w:rPr>
        <w:instrText xml:space="preserve"> </w:instrText>
      </w:r>
      <w:r>
        <w:rPr>
          <w:rFonts w:hint="eastAsia" w:asciiTheme="minorEastAsia" w:hAnsiTheme="minorEastAsia" w:eastAsiaTheme="minorEastAsia"/>
          <w:szCs w:val="21"/>
        </w:rPr>
        <w:instrText xml:space="preserve">= 3 \* GB3</w:instrText>
      </w:r>
      <w:r>
        <w:rPr>
          <w:rFonts w:asciiTheme="minorEastAsia" w:hAnsiTheme="minorEastAsia" w:eastAsiaTheme="minorEastAsia"/>
          <w:szCs w:val="21"/>
        </w:rPr>
        <w:instrText xml:space="preserve"> </w:instrText>
      </w:r>
      <w:r>
        <w:rPr>
          <w:rFonts w:asciiTheme="minorEastAsia" w:hAnsiTheme="minorEastAsia" w:eastAsiaTheme="minorEastAsia"/>
          <w:szCs w:val="21"/>
        </w:rPr>
        <w:fldChar w:fldCharType="separate"/>
      </w:r>
      <w:r>
        <w:rPr>
          <w:rFonts w:hint="eastAsia" w:asciiTheme="minorEastAsia" w:hAnsiTheme="minorEastAsia" w:eastAsiaTheme="minorEastAsia"/>
          <w:szCs w:val="21"/>
        </w:rPr>
        <w:t>③</w:t>
      </w:r>
      <w:r>
        <w:rPr>
          <w:rFonts w:asciiTheme="minorEastAsia" w:hAnsiTheme="minorEastAsia" w:eastAsiaTheme="minorEastAsia"/>
          <w:szCs w:val="21"/>
        </w:rPr>
        <w:fldChar w:fldCharType="end"/>
      </w:r>
      <w:r>
        <w:rPr>
          <w:rFonts w:asciiTheme="minorEastAsia" w:hAnsiTheme="minorEastAsia" w:eastAsiaTheme="minorEastAsia"/>
          <w:szCs w:val="21"/>
        </w:rPr>
        <w:t xml:space="preserve"> </w:t>
      </w:r>
      <w:r>
        <w:rPr>
          <w:rFonts w:hint="eastAsia" w:asciiTheme="minorEastAsia" w:hAnsiTheme="minorEastAsia" w:eastAsiaTheme="minorEastAsia"/>
          <w:szCs w:val="21"/>
        </w:rPr>
        <w:t>熟悉反坦克武器装备机电系统工作原理及结构组成，了解其主要性能参数及其评价方法，熟悉其操作与使用。</w:t>
      </w:r>
    </w:p>
    <w:p>
      <w:pPr>
        <w:pStyle w:val="4"/>
        <w:rPr>
          <w:rFonts w:asciiTheme="minorEastAsia" w:hAnsiTheme="minorEastAsia" w:eastAsiaTheme="minorEastAsia"/>
          <w:szCs w:val="21"/>
        </w:rPr>
      </w:pPr>
      <w:bookmarkStart w:id="13" w:name="_Toc14445838"/>
      <w:r>
        <w:rPr>
          <w:rFonts w:asciiTheme="minorEastAsia" w:hAnsiTheme="minorEastAsia" w:eastAsiaTheme="minorEastAsia"/>
          <w:szCs w:val="21"/>
        </w:rPr>
        <w:t>2</w:t>
      </w:r>
      <w:r>
        <w:rPr>
          <w:rFonts w:hint="eastAsia"/>
        </w:rPr>
        <w:t>．实验</w:t>
      </w:r>
      <w:bookmarkEnd w:id="13"/>
      <w:r>
        <w:rPr>
          <w:rFonts w:hint="eastAsia"/>
        </w:rPr>
        <w:t>器件</w:t>
      </w:r>
    </w:p>
    <w:p>
      <w:pPr>
        <w:pStyle w:val="30"/>
        <w:spacing w:line="360" w:lineRule="auto"/>
        <w:rPr>
          <w:rFonts w:asciiTheme="minorEastAsia" w:hAnsiTheme="minorEastAsia" w:eastAsiaTheme="minorEastAsia"/>
          <w:color w:val="000000"/>
          <w:szCs w:val="21"/>
        </w:rPr>
      </w:pPr>
      <w:r>
        <w:rPr>
          <w:rFonts w:asciiTheme="minorEastAsia" w:hAnsiTheme="minorEastAsia" w:eastAsiaTheme="minorEastAsia"/>
          <w:color w:val="000000"/>
          <w:szCs w:val="21"/>
        </w:rPr>
        <w:fldChar w:fldCharType="begin"/>
      </w:r>
      <w:r>
        <w:rPr>
          <w:rFonts w:asciiTheme="minorEastAsia" w:hAnsiTheme="minorEastAsia" w:eastAsiaTheme="minorEastAsia"/>
          <w:color w:val="000000"/>
          <w:szCs w:val="21"/>
        </w:rPr>
        <w:instrText xml:space="preserve"> </w:instrText>
      </w:r>
      <w:r>
        <w:rPr>
          <w:rFonts w:hint="eastAsia" w:asciiTheme="minorEastAsia" w:hAnsiTheme="minorEastAsia" w:eastAsiaTheme="minorEastAsia"/>
          <w:color w:val="000000"/>
          <w:szCs w:val="21"/>
        </w:rPr>
        <w:instrText xml:space="preserve">= 1 \* GB3</w:instrText>
      </w:r>
      <w:r>
        <w:rPr>
          <w:rFonts w:asciiTheme="minorEastAsia" w:hAnsiTheme="minorEastAsia" w:eastAsiaTheme="minorEastAsia"/>
          <w:color w:val="000000"/>
          <w:szCs w:val="21"/>
        </w:rPr>
        <w:instrText xml:space="preserve"> </w:instrText>
      </w:r>
      <w:r>
        <w:rPr>
          <w:rFonts w:asciiTheme="minorEastAsia" w:hAnsiTheme="minorEastAsia" w:eastAsiaTheme="minorEastAsia"/>
          <w:color w:val="000000"/>
          <w:szCs w:val="21"/>
        </w:rPr>
        <w:fldChar w:fldCharType="separate"/>
      </w:r>
      <w:r>
        <w:rPr>
          <w:rFonts w:hint="eastAsia" w:asciiTheme="minorEastAsia" w:hAnsiTheme="minorEastAsia" w:eastAsiaTheme="minorEastAsia"/>
          <w:color w:val="000000"/>
          <w:szCs w:val="21"/>
        </w:rPr>
        <w:t>①</w:t>
      </w:r>
      <w:r>
        <w:rPr>
          <w:rFonts w:asciiTheme="minorEastAsia" w:hAnsiTheme="minorEastAsia" w:eastAsiaTheme="minorEastAsia"/>
          <w:color w:val="000000"/>
          <w:szCs w:val="21"/>
        </w:rPr>
        <w:fldChar w:fldCharType="end"/>
      </w:r>
      <w:r>
        <w:rPr>
          <w:rFonts w:asciiTheme="minorEastAsia" w:hAnsiTheme="minorEastAsia" w:eastAsiaTheme="minorEastAsia"/>
          <w:color w:val="000000"/>
          <w:szCs w:val="21"/>
        </w:rPr>
        <w:t xml:space="preserve"> </w:t>
      </w:r>
      <w:r>
        <w:rPr>
          <w:rFonts w:hint="eastAsia" w:asciiTheme="minorEastAsia" w:hAnsiTheme="minorEastAsia" w:eastAsiaTheme="minorEastAsia"/>
          <w:color w:val="000000"/>
          <w:szCs w:val="21"/>
        </w:rPr>
        <w:t>编码器：编码器主体、轴承上、轴承下、下轴承内锁紧环、发光板、发光板螺栓等；</w:t>
      </w:r>
    </w:p>
    <w:p>
      <w:pPr>
        <w:pStyle w:val="30"/>
        <w:spacing w:line="360" w:lineRule="auto"/>
        <w:rPr>
          <w:rFonts w:asciiTheme="minorEastAsia" w:hAnsiTheme="minorEastAsia" w:eastAsiaTheme="minorEastAsia"/>
          <w:color w:val="000000"/>
          <w:szCs w:val="21"/>
        </w:rPr>
      </w:pPr>
      <w:r>
        <w:rPr>
          <w:rFonts w:asciiTheme="minorEastAsia" w:hAnsiTheme="minorEastAsia" w:eastAsiaTheme="minorEastAsia"/>
          <w:szCs w:val="21"/>
        </w:rPr>
        <w:fldChar w:fldCharType="begin"/>
      </w:r>
      <w:r>
        <w:rPr>
          <w:rFonts w:asciiTheme="minorEastAsia" w:hAnsiTheme="minorEastAsia" w:eastAsiaTheme="minorEastAsia"/>
          <w:szCs w:val="21"/>
        </w:rPr>
        <w:instrText xml:space="preserve"> </w:instrText>
      </w:r>
      <w:r>
        <w:rPr>
          <w:rFonts w:hint="eastAsia" w:asciiTheme="minorEastAsia" w:hAnsiTheme="minorEastAsia" w:eastAsiaTheme="minorEastAsia"/>
          <w:szCs w:val="21"/>
        </w:rPr>
        <w:instrText xml:space="preserve">= 2 \* GB3</w:instrText>
      </w:r>
      <w:r>
        <w:rPr>
          <w:rFonts w:asciiTheme="minorEastAsia" w:hAnsiTheme="minorEastAsia" w:eastAsiaTheme="minorEastAsia"/>
          <w:szCs w:val="21"/>
        </w:rPr>
        <w:instrText xml:space="preserve"> </w:instrText>
      </w:r>
      <w:r>
        <w:rPr>
          <w:rFonts w:asciiTheme="minorEastAsia" w:hAnsiTheme="minorEastAsia" w:eastAsiaTheme="minorEastAsia"/>
          <w:szCs w:val="21"/>
        </w:rPr>
        <w:fldChar w:fldCharType="separate"/>
      </w:r>
      <w:r>
        <w:rPr>
          <w:rFonts w:hint="eastAsia" w:asciiTheme="minorEastAsia" w:hAnsiTheme="minorEastAsia" w:eastAsiaTheme="minorEastAsia"/>
          <w:szCs w:val="21"/>
        </w:rPr>
        <w:t>②</w:t>
      </w:r>
      <w:r>
        <w:rPr>
          <w:rFonts w:asciiTheme="minorEastAsia" w:hAnsiTheme="minorEastAsia" w:eastAsiaTheme="minorEastAsia"/>
          <w:szCs w:val="21"/>
        </w:rPr>
        <w:fldChar w:fldCharType="end"/>
      </w:r>
      <w:r>
        <w:rPr>
          <w:rFonts w:asciiTheme="minorEastAsia" w:hAnsiTheme="minorEastAsia" w:eastAsiaTheme="minorEastAsia"/>
          <w:szCs w:val="21"/>
        </w:rPr>
        <w:t xml:space="preserve"> </w:t>
      </w:r>
      <w:r>
        <w:rPr>
          <w:rFonts w:hint="eastAsia" w:asciiTheme="minorEastAsia" w:hAnsiTheme="minorEastAsia" w:eastAsiaTheme="minorEastAsia"/>
          <w:color w:val="000000"/>
          <w:szCs w:val="21"/>
        </w:rPr>
        <w:t>分装式立柜电机：转子、定子、电刷；</w:t>
      </w:r>
    </w:p>
    <w:p>
      <w:pPr>
        <w:pStyle w:val="30"/>
        <w:spacing w:line="360" w:lineRule="auto"/>
        <w:rPr>
          <w:szCs w:val="21"/>
        </w:rPr>
      </w:pPr>
      <w:r>
        <w:rPr>
          <w:rFonts w:asciiTheme="minorEastAsia" w:hAnsiTheme="minorEastAsia" w:eastAsiaTheme="minorEastAsia"/>
          <w:szCs w:val="21"/>
        </w:rPr>
        <w:fldChar w:fldCharType="begin"/>
      </w:r>
      <w:r>
        <w:rPr>
          <w:rFonts w:asciiTheme="minorEastAsia" w:hAnsiTheme="minorEastAsia" w:eastAsiaTheme="minorEastAsia"/>
          <w:szCs w:val="21"/>
        </w:rPr>
        <w:instrText xml:space="preserve"> </w:instrText>
      </w:r>
      <w:r>
        <w:rPr>
          <w:rFonts w:hint="eastAsia" w:asciiTheme="minorEastAsia" w:hAnsiTheme="minorEastAsia" w:eastAsiaTheme="minorEastAsia"/>
          <w:szCs w:val="21"/>
        </w:rPr>
        <w:instrText xml:space="preserve">= 3 \* GB3</w:instrText>
      </w:r>
      <w:r>
        <w:rPr>
          <w:rFonts w:asciiTheme="minorEastAsia" w:hAnsiTheme="minorEastAsia" w:eastAsiaTheme="minorEastAsia"/>
          <w:szCs w:val="21"/>
        </w:rPr>
        <w:instrText xml:space="preserve"> </w:instrText>
      </w:r>
      <w:r>
        <w:rPr>
          <w:rFonts w:asciiTheme="minorEastAsia" w:hAnsiTheme="minorEastAsia" w:eastAsiaTheme="minorEastAsia"/>
          <w:szCs w:val="21"/>
        </w:rPr>
        <w:fldChar w:fldCharType="separate"/>
      </w:r>
      <w:r>
        <w:rPr>
          <w:rFonts w:hint="eastAsia" w:asciiTheme="minorEastAsia" w:hAnsiTheme="minorEastAsia" w:eastAsiaTheme="minorEastAsia"/>
          <w:szCs w:val="21"/>
        </w:rPr>
        <w:t>③</w:t>
      </w:r>
      <w:r>
        <w:rPr>
          <w:rFonts w:asciiTheme="minorEastAsia" w:hAnsiTheme="minorEastAsia" w:eastAsiaTheme="minorEastAsia"/>
          <w:szCs w:val="21"/>
        </w:rPr>
        <w:fldChar w:fldCharType="end"/>
      </w:r>
      <w:r>
        <w:rPr>
          <w:rFonts w:asciiTheme="minorEastAsia" w:hAnsiTheme="minorEastAsia" w:eastAsiaTheme="minorEastAsia"/>
          <w:szCs w:val="21"/>
        </w:rPr>
        <w:t xml:space="preserve"> </w:t>
      </w:r>
      <w:r>
        <w:rPr>
          <w:rFonts w:hint="eastAsia" w:asciiTheme="minorEastAsia" w:hAnsiTheme="minorEastAsia" w:eastAsiaTheme="minorEastAsia"/>
          <w:color w:val="000000"/>
          <w:szCs w:val="21"/>
        </w:rPr>
        <w:t>光电部件</w:t>
      </w:r>
      <w:r>
        <w:rPr>
          <w:rFonts w:hint="eastAsia"/>
          <w:szCs w:val="21"/>
        </w:rPr>
        <w:t>：转子组件、定子组件、方位编码器组件、俯仰组件等；</w:t>
      </w:r>
    </w:p>
    <w:p>
      <w:pPr>
        <w:pStyle w:val="30"/>
        <w:spacing w:line="360" w:lineRule="auto"/>
        <w:rPr>
          <w:szCs w:val="21"/>
        </w:rPr>
      </w:pPr>
      <w:r>
        <w:rPr>
          <w:szCs w:val="21"/>
        </w:rPr>
        <w:fldChar w:fldCharType="begin"/>
      </w:r>
      <w:r>
        <w:rPr>
          <w:szCs w:val="21"/>
        </w:rPr>
        <w:instrText xml:space="preserve"> </w:instrText>
      </w:r>
      <w:r>
        <w:rPr>
          <w:rFonts w:hint="eastAsia"/>
          <w:szCs w:val="21"/>
        </w:rPr>
        <w:instrText xml:space="preserve">= 4 \* GB3</w:instrText>
      </w:r>
      <w:r>
        <w:rPr>
          <w:szCs w:val="21"/>
        </w:rPr>
        <w:instrText xml:space="preserve"> </w:instrText>
      </w:r>
      <w:r>
        <w:rPr>
          <w:szCs w:val="21"/>
        </w:rPr>
        <w:fldChar w:fldCharType="separate"/>
      </w:r>
      <w:r>
        <w:rPr>
          <w:rFonts w:hint="eastAsia"/>
          <w:szCs w:val="21"/>
        </w:rPr>
        <w:t>④</w:t>
      </w:r>
      <w:r>
        <w:rPr>
          <w:szCs w:val="21"/>
        </w:rPr>
        <w:fldChar w:fldCharType="end"/>
      </w:r>
      <w:r>
        <w:rPr>
          <w:szCs w:val="21"/>
        </w:rPr>
        <w:t xml:space="preserve"> </w:t>
      </w:r>
      <w:r>
        <w:rPr>
          <w:rFonts w:hint="eastAsia"/>
          <w:szCs w:val="21"/>
        </w:rPr>
        <w:t>武器系统：武器俯仰组件、光电系统、左弹架、右弹架、航插座、下底座及底板。</w:t>
      </w:r>
    </w:p>
    <w:p>
      <w:pPr>
        <w:pStyle w:val="4"/>
        <w:numPr>
          <w:ilvl w:val="0"/>
          <w:numId w:val="1"/>
        </w:numPr>
      </w:pPr>
      <w:bookmarkStart w:id="14" w:name="_Toc14445839"/>
      <w:r>
        <w:rPr>
          <w:rFonts w:hint="eastAsia"/>
        </w:rPr>
        <w:t>实验内容</w:t>
      </w:r>
      <w:bookmarkEnd w:id="14"/>
    </w:p>
    <w:p>
      <w:pPr>
        <w:ind w:firstLine="420" w:firstLineChars="200"/>
      </w:pPr>
      <w:r>
        <w:rPr>
          <w:rFonts w:hint="eastAsia"/>
        </w:rPr>
        <w:t>（一）进入平台点击开始实验，进入实验入口；</w:t>
      </w:r>
    </w:p>
    <w:p>
      <w:pPr>
        <w:ind w:firstLine="420" w:firstLineChars="200"/>
      </w:pPr>
      <w:r>
        <w:drawing>
          <wp:inline distT="0" distB="0" distL="0" distR="0">
            <wp:extent cx="4695825" cy="2874645"/>
            <wp:effectExtent l="0" t="0" r="0" b="190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747557" cy="2906340"/>
                    </a:xfrm>
                    <a:prstGeom prst="rect">
                      <a:avLst/>
                    </a:prstGeom>
                    <a:noFill/>
                    <a:ln>
                      <a:noFill/>
                    </a:ln>
                  </pic:spPr>
                </pic:pic>
              </a:graphicData>
            </a:graphic>
          </wp:inline>
        </w:drawing>
      </w:r>
    </w:p>
    <w:p>
      <w:pPr>
        <w:spacing w:afterLines="50"/>
        <w:jc w:val="center"/>
        <w:rPr>
          <w:rFonts w:eastAsia="黑体"/>
          <w:sz w:val="18"/>
          <w:szCs w:val="18"/>
        </w:rPr>
      </w:pPr>
      <w:r>
        <w:rPr>
          <w:rFonts w:eastAsia="黑体"/>
          <w:sz w:val="18"/>
          <w:szCs w:val="18"/>
        </w:rPr>
        <w:t xml:space="preserve">图3.1 </w:t>
      </w:r>
      <w:r>
        <w:rPr>
          <w:rFonts w:hint="eastAsia" w:eastAsia="黑体"/>
          <w:sz w:val="18"/>
          <w:szCs w:val="18"/>
        </w:rPr>
        <w:t>实验入口界面</w:t>
      </w:r>
    </w:p>
    <w:p>
      <w:pPr>
        <w:ind w:firstLine="420" w:firstLineChars="200"/>
      </w:pPr>
      <w:r>
        <w:rPr>
          <w:rFonts w:hint="eastAsia"/>
        </w:rPr>
        <w:t>（二）击开始实验，进入主界面；</w:t>
      </w:r>
    </w:p>
    <w:p>
      <w:pPr>
        <w:ind w:firstLine="420" w:firstLineChars="200"/>
      </w:pPr>
      <w:r>
        <w:drawing>
          <wp:inline distT="0" distB="0" distL="0" distR="0">
            <wp:extent cx="4696460" cy="2595245"/>
            <wp:effectExtent l="0" t="0" r="889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749410" cy="2624505"/>
                    </a:xfrm>
                    <a:prstGeom prst="rect">
                      <a:avLst/>
                    </a:prstGeom>
                    <a:noFill/>
                    <a:ln>
                      <a:noFill/>
                    </a:ln>
                  </pic:spPr>
                </pic:pic>
              </a:graphicData>
            </a:graphic>
          </wp:inline>
        </w:drawing>
      </w:r>
    </w:p>
    <w:p>
      <w:pPr>
        <w:spacing w:afterLines="50"/>
        <w:jc w:val="center"/>
        <w:rPr>
          <w:rFonts w:eastAsia="黑体"/>
          <w:sz w:val="18"/>
          <w:szCs w:val="18"/>
        </w:rPr>
      </w:pPr>
      <w:r>
        <w:rPr>
          <w:rFonts w:eastAsia="黑体"/>
          <w:sz w:val="18"/>
          <w:szCs w:val="18"/>
        </w:rPr>
        <w:t xml:space="preserve">图3.2 </w:t>
      </w:r>
      <w:r>
        <w:rPr>
          <w:rFonts w:hint="eastAsia" w:eastAsia="黑体"/>
          <w:sz w:val="18"/>
          <w:szCs w:val="18"/>
        </w:rPr>
        <w:t>实验主界面</w:t>
      </w:r>
    </w:p>
    <w:p>
      <w:pPr>
        <w:spacing w:line="360" w:lineRule="auto"/>
        <w:ind w:firstLine="420" w:firstLineChars="200"/>
      </w:pPr>
      <w:r>
        <w:rPr>
          <w:rFonts w:hint="eastAsia"/>
        </w:rPr>
        <w:t>（三）在主界面可以选择相应的子实验，系统功能按钮可显示操作帮助、全屏及返回实验初始界面，操作者可通过鼠标键盘在实验室内漫游，观察武器系统整体和实验室其他设备；</w:t>
      </w:r>
    </w:p>
    <w:p>
      <w:pPr>
        <w:ind w:firstLine="420" w:firstLineChars="200"/>
      </w:pPr>
      <w:r>
        <w:drawing>
          <wp:inline distT="0" distB="0" distL="0" distR="0">
            <wp:extent cx="4710430" cy="278447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735347" cy="2799136"/>
                    </a:xfrm>
                    <a:prstGeom prst="rect">
                      <a:avLst/>
                    </a:prstGeom>
                    <a:noFill/>
                    <a:ln>
                      <a:noFill/>
                    </a:ln>
                  </pic:spPr>
                </pic:pic>
              </a:graphicData>
            </a:graphic>
          </wp:inline>
        </w:drawing>
      </w:r>
    </w:p>
    <w:p>
      <w:pPr>
        <w:spacing w:afterLines="50"/>
        <w:jc w:val="center"/>
        <w:rPr>
          <w:rFonts w:eastAsia="黑体"/>
          <w:sz w:val="18"/>
          <w:szCs w:val="18"/>
        </w:rPr>
      </w:pPr>
      <w:r>
        <w:rPr>
          <w:rFonts w:eastAsia="黑体"/>
          <w:sz w:val="18"/>
          <w:szCs w:val="18"/>
        </w:rPr>
        <w:t xml:space="preserve">图3.3 </w:t>
      </w:r>
      <w:r>
        <w:rPr>
          <w:rFonts w:hint="eastAsia" w:eastAsia="黑体"/>
          <w:sz w:val="18"/>
          <w:szCs w:val="18"/>
        </w:rPr>
        <w:t>实验</w:t>
      </w:r>
      <w:r>
        <w:rPr>
          <w:rFonts w:eastAsia="黑体"/>
          <w:sz w:val="18"/>
          <w:szCs w:val="18"/>
        </w:rPr>
        <w:t>操作帮助示意图</w:t>
      </w:r>
    </w:p>
    <w:p>
      <w:pPr>
        <w:spacing w:line="360" w:lineRule="auto"/>
        <w:ind w:firstLine="420" w:firstLineChars="200"/>
      </w:pPr>
      <w:r>
        <w:rPr>
          <w:rFonts w:hint="eastAsia"/>
        </w:rPr>
        <w:t>（四）编码器子实验</w:t>
      </w:r>
    </w:p>
    <w:p>
      <w:pPr>
        <w:spacing w:line="360" w:lineRule="auto"/>
        <w:ind w:firstLine="420" w:firstLineChars="200"/>
      </w:pPr>
      <w:r>
        <w:rPr>
          <w:rFonts w:hint="eastAsia"/>
        </w:rPr>
        <w:t>1）点击编码器实验按钮，开始编码器相关实验，编码器高亮显示，展示编码器在整个武器系统中的位置；</w:t>
      </w:r>
    </w:p>
    <w:p>
      <w:pPr>
        <w:ind w:firstLine="420" w:firstLineChars="200"/>
      </w:pPr>
      <w:r>
        <w:drawing>
          <wp:inline distT="0" distB="0" distL="0" distR="0">
            <wp:extent cx="4724400" cy="28397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
                    <a:stretch>
                      <a:fillRect/>
                    </a:stretch>
                  </pic:blipFill>
                  <pic:spPr>
                    <a:xfrm>
                      <a:off x="0" y="0"/>
                      <a:ext cx="4746351" cy="2852914"/>
                    </a:xfrm>
                    <a:prstGeom prst="rect">
                      <a:avLst/>
                    </a:prstGeom>
                  </pic:spPr>
                </pic:pic>
              </a:graphicData>
            </a:graphic>
          </wp:inline>
        </w:drawing>
      </w:r>
    </w:p>
    <w:p>
      <w:pPr>
        <w:spacing w:afterLines="50"/>
        <w:jc w:val="center"/>
        <w:rPr>
          <w:rFonts w:eastAsia="黑体"/>
          <w:sz w:val="18"/>
          <w:szCs w:val="18"/>
        </w:rPr>
      </w:pPr>
      <w:r>
        <w:rPr>
          <w:rFonts w:eastAsia="黑体"/>
          <w:sz w:val="18"/>
          <w:szCs w:val="18"/>
        </w:rPr>
        <w:t xml:space="preserve">图3.4 </w:t>
      </w:r>
      <w:bookmarkStart w:id="15" w:name="_Hlk14455960"/>
      <w:r>
        <w:rPr>
          <w:rFonts w:hint="eastAsia" w:eastAsia="黑体"/>
          <w:sz w:val="18"/>
          <w:szCs w:val="18"/>
        </w:rPr>
        <w:t>开启编码实验操作界面</w:t>
      </w:r>
      <w:bookmarkEnd w:id="15"/>
    </w:p>
    <w:p>
      <w:pPr>
        <w:spacing w:line="360" w:lineRule="auto"/>
        <w:ind w:firstLine="420" w:firstLineChars="200"/>
      </w:pPr>
      <w:r>
        <w:rPr>
          <w:rFonts w:hint="eastAsia"/>
        </w:rPr>
        <w:t>2）点击原理按钮可查看编码器原理示意图；</w:t>
      </w:r>
    </w:p>
    <w:p>
      <w:pPr>
        <w:spacing w:line="360" w:lineRule="auto"/>
        <w:ind w:firstLine="420" w:firstLineChars="200"/>
      </w:pPr>
      <w:r>
        <w:rPr>
          <w:rFonts w:hint="eastAsia"/>
        </w:rPr>
        <w:t>3）点击编码器装配按钮，进入编码器装配场景进行装配；</w:t>
      </w:r>
    </w:p>
    <w:p>
      <w:pPr>
        <w:spacing w:line="360" w:lineRule="auto"/>
        <w:ind w:firstLine="420" w:firstLineChars="200"/>
      </w:pPr>
      <w:r>
        <w:rPr>
          <w:rFonts w:hint="eastAsia"/>
        </w:rPr>
        <w:t>4）点击示教模式按钮，开始进行编码器拆装实验，通过视角转换和零件高亮显示该零件的名称，解说中提示装配注意事项，引导学生点击相应零件完成零件到部件装配；</w:t>
      </w:r>
    </w:p>
    <w:p>
      <w:pPr>
        <w:ind w:firstLine="420" w:firstLineChars="200"/>
      </w:pPr>
      <w:r>
        <w:drawing>
          <wp:inline distT="0" distB="0" distL="0" distR="0">
            <wp:extent cx="4696460" cy="283972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5"/>
                    <a:stretch>
                      <a:fillRect/>
                    </a:stretch>
                  </pic:blipFill>
                  <pic:spPr>
                    <a:xfrm>
                      <a:off x="0" y="0"/>
                      <a:ext cx="4716372" cy="2852224"/>
                    </a:xfrm>
                    <a:prstGeom prst="rect">
                      <a:avLst/>
                    </a:prstGeom>
                  </pic:spPr>
                </pic:pic>
              </a:graphicData>
            </a:graphic>
          </wp:inline>
        </w:drawing>
      </w:r>
    </w:p>
    <w:p>
      <w:pPr>
        <w:spacing w:afterLines="50"/>
        <w:jc w:val="center"/>
        <w:rPr>
          <w:rFonts w:eastAsia="黑体"/>
          <w:sz w:val="18"/>
          <w:szCs w:val="18"/>
        </w:rPr>
      </w:pPr>
      <w:r>
        <w:rPr>
          <w:rFonts w:eastAsia="黑体"/>
          <w:sz w:val="18"/>
          <w:szCs w:val="18"/>
        </w:rPr>
        <w:t xml:space="preserve">图3.5 </w:t>
      </w:r>
      <w:r>
        <w:rPr>
          <w:rFonts w:hint="eastAsia" w:eastAsia="黑体"/>
          <w:sz w:val="18"/>
          <w:szCs w:val="18"/>
        </w:rPr>
        <w:t>编码实验示教模式界面</w:t>
      </w:r>
    </w:p>
    <w:p>
      <w:pPr>
        <w:pStyle w:val="39"/>
        <w:numPr>
          <w:ilvl w:val="0"/>
          <w:numId w:val="2"/>
        </w:numPr>
        <w:ind w:firstLineChars="0"/>
      </w:pPr>
      <w:r>
        <w:rPr>
          <w:rFonts w:hint="eastAsia"/>
        </w:rPr>
        <w:t>点击学习模式自主完成整个编码器的装配；</w:t>
      </w:r>
    </w:p>
    <w:p>
      <w:pPr>
        <w:ind w:firstLine="420" w:firstLineChars="200"/>
      </w:pPr>
      <w:r>
        <w:drawing>
          <wp:inline distT="0" distB="0" distL="0" distR="0">
            <wp:extent cx="4710430" cy="284670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6"/>
                    <a:stretch>
                      <a:fillRect/>
                    </a:stretch>
                  </pic:blipFill>
                  <pic:spPr>
                    <a:xfrm>
                      <a:off x="0" y="0"/>
                      <a:ext cx="4723704" cy="2855132"/>
                    </a:xfrm>
                    <a:prstGeom prst="rect">
                      <a:avLst/>
                    </a:prstGeom>
                  </pic:spPr>
                </pic:pic>
              </a:graphicData>
            </a:graphic>
          </wp:inline>
        </w:drawing>
      </w:r>
    </w:p>
    <w:p>
      <w:pPr>
        <w:spacing w:afterLines="50"/>
        <w:jc w:val="center"/>
        <w:rPr>
          <w:rFonts w:eastAsia="黑体"/>
          <w:sz w:val="18"/>
          <w:szCs w:val="18"/>
        </w:rPr>
      </w:pPr>
      <w:r>
        <w:rPr>
          <w:rFonts w:eastAsia="黑体"/>
          <w:sz w:val="18"/>
          <w:szCs w:val="18"/>
        </w:rPr>
        <w:t xml:space="preserve">图3.6 </w:t>
      </w:r>
      <w:r>
        <w:rPr>
          <w:rFonts w:hint="eastAsia" w:eastAsia="黑体"/>
          <w:sz w:val="18"/>
          <w:szCs w:val="18"/>
        </w:rPr>
        <w:t>编码实验学习模式界面</w:t>
      </w:r>
    </w:p>
    <w:p>
      <w:pPr>
        <w:ind w:firstLine="420" w:firstLineChars="200"/>
      </w:pPr>
      <w:r>
        <w:rPr>
          <w:rFonts w:hint="eastAsia"/>
        </w:rPr>
        <w:t>5）完成后点击返回按钮，返回实验室。</w:t>
      </w:r>
    </w:p>
    <w:p>
      <w:pPr>
        <w:ind w:firstLine="420" w:firstLineChars="200"/>
      </w:pPr>
      <w:r>
        <w:drawing>
          <wp:inline distT="0" distB="0" distL="0" distR="0">
            <wp:extent cx="4716780" cy="2812415"/>
            <wp:effectExtent l="0" t="0" r="7620" b="698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726255" cy="2818020"/>
                    </a:xfrm>
                    <a:prstGeom prst="rect">
                      <a:avLst/>
                    </a:prstGeom>
                    <a:noFill/>
                    <a:ln>
                      <a:noFill/>
                    </a:ln>
                  </pic:spPr>
                </pic:pic>
              </a:graphicData>
            </a:graphic>
          </wp:inline>
        </w:drawing>
      </w:r>
    </w:p>
    <w:p>
      <w:pPr>
        <w:spacing w:afterLines="50"/>
        <w:jc w:val="center"/>
        <w:rPr>
          <w:rFonts w:eastAsia="黑体"/>
          <w:sz w:val="18"/>
          <w:szCs w:val="18"/>
        </w:rPr>
      </w:pPr>
      <w:r>
        <w:rPr>
          <w:rFonts w:eastAsia="黑体"/>
          <w:sz w:val="18"/>
          <w:szCs w:val="18"/>
        </w:rPr>
        <w:t xml:space="preserve">图3.7 </w:t>
      </w:r>
      <w:r>
        <w:rPr>
          <w:rFonts w:hint="eastAsia" w:eastAsia="黑体"/>
          <w:sz w:val="18"/>
          <w:szCs w:val="18"/>
        </w:rPr>
        <w:t>返回主界面</w:t>
      </w:r>
      <w:r>
        <w:rPr>
          <w:rFonts w:eastAsia="黑体"/>
          <w:sz w:val="18"/>
          <w:szCs w:val="18"/>
        </w:rPr>
        <w:t>示意</w:t>
      </w:r>
      <w:r>
        <w:rPr>
          <w:rFonts w:hint="eastAsia" w:eastAsia="黑体"/>
          <w:sz w:val="18"/>
          <w:szCs w:val="18"/>
        </w:rPr>
        <w:t>图</w:t>
      </w:r>
    </w:p>
    <w:p>
      <w:pPr>
        <w:spacing w:line="360" w:lineRule="auto"/>
        <w:ind w:firstLine="420" w:firstLineChars="200"/>
      </w:pPr>
      <w:r>
        <w:rPr>
          <w:rFonts w:hint="eastAsia"/>
        </w:rPr>
        <w:t>（五）分体式电机子实验</w:t>
      </w:r>
    </w:p>
    <w:p>
      <w:pPr>
        <w:spacing w:line="360" w:lineRule="auto"/>
        <w:ind w:firstLine="420" w:firstLineChars="200"/>
      </w:pPr>
      <w:r>
        <w:rPr>
          <w:rFonts w:hint="eastAsia"/>
        </w:rPr>
        <w:t>1）点击</w:t>
      </w:r>
      <w:bookmarkStart w:id="16" w:name="_Hlk14455991"/>
      <w:r>
        <w:rPr>
          <w:rFonts w:hint="eastAsia"/>
        </w:rPr>
        <w:t>分体式电机</w:t>
      </w:r>
      <w:bookmarkEnd w:id="16"/>
      <w:r>
        <w:rPr>
          <w:rFonts w:hint="eastAsia"/>
        </w:rPr>
        <w:t>实验按钮，开始分体式电机相关实验，分体式电机高亮显示，展示力矩电机在整个武器系统中的位置；</w:t>
      </w:r>
    </w:p>
    <w:p>
      <w:pPr>
        <w:ind w:firstLine="420" w:firstLineChars="200"/>
      </w:pPr>
      <w:r>
        <w:drawing>
          <wp:inline distT="0" distB="0" distL="0" distR="0">
            <wp:extent cx="4737735" cy="2756535"/>
            <wp:effectExtent l="0" t="0" r="5715" b="57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745533" cy="2761592"/>
                    </a:xfrm>
                    <a:prstGeom prst="rect">
                      <a:avLst/>
                    </a:prstGeom>
                    <a:noFill/>
                    <a:ln>
                      <a:noFill/>
                    </a:ln>
                  </pic:spPr>
                </pic:pic>
              </a:graphicData>
            </a:graphic>
          </wp:inline>
        </w:drawing>
      </w:r>
    </w:p>
    <w:p>
      <w:pPr>
        <w:spacing w:afterLines="50"/>
        <w:jc w:val="center"/>
        <w:rPr>
          <w:rFonts w:eastAsia="黑体"/>
          <w:sz w:val="18"/>
          <w:szCs w:val="18"/>
        </w:rPr>
      </w:pPr>
      <w:r>
        <w:rPr>
          <w:rFonts w:eastAsia="黑体"/>
          <w:sz w:val="18"/>
          <w:szCs w:val="18"/>
        </w:rPr>
        <w:t xml:space="preserve">图3.8 </w:t>
      </w:r>
      <w:r>
        <w:rPr>
          <w:rFonts w:hint="eastAsia" w:eastAsia="黑体"/>
          <w:sz w:val="18"/>
          <w:szCs w:val="18"/>
        </w:rPr>
        <w:t>开启分体式电机实验操作界面</w:t>
      </w:r>
    </w:p>
    <w:p>
      <w:pPr>
        <w:spacing w:line="360" w:lineRule="auto"/>
        <w:ind w:firstLine="420" w:firstLineChars="200"/>
      </w:pPr>
      <w:r>
        <w:rPr>
          <w:rFonts w:hint="eastAsia"/>
        </w:rPr>
        <w:t>2）点击分体式电机装配按钮，进入分体式电机装配场景进行装配；</w:t>
      </w:r>
      <w:r>
        <w:t xml:space="preserve"> </w:t>
      </w:r>
    </w:p>
    <w:p>
      <w:pPr>
        <w:spacing w:line="360" w:lineRule="auto"/>
        <w:ind w:firstLine="420" w:firstLineChars="200"/>
      </w:pPr>
      <w:r>
        <w:rPr>
          <w:rFonts w:hint="eastAsia"/>
        </w:rPr>
        <w:t>3）点击示教模式按钮，开始进行分体式电机拆装实验，通过视角转换和零件高亮显示该零件的名称，解说中提示装配注意事项，引导学生点击相应零件完成零件到部件装配；</w:t>
      </w:r>
    </w:p>
    <w:p>
      <w:pPr>
        <w:ind w:firstLine="420" w:firstLineChars="200"/>
      </w:pPr>
      <w:r>
        <w:drawing>
          <wp:inline distT="0" distB="0" distL="0" distR="0">
            <wp:extent cx="4724400" cy="274955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9"/>
                    <a:stretch>
                      <a:fillRect/>
                    </a:stretch>
                  </pic:blipFill>
                  <pic:spPr>
                    <a:xfrm>
                      <a:off x="0" y="0"/>
                      <a:ext cx="4736960" cy="2757439"/>
                    </a:xfrm>
                    <a:prstGeom prst="rect">
                      <a:avLst/>
                    </a:prstGeom>
                  </pic:spPr>
                </pic:pic>
              </a:graphicData>
            </a:graphic>
          </wp:inline>
        </w:drawing>
      </w:r>
    </w:p>
    <w:p>
      <w:pPr>
        <w:spacing w:afterLines="50"/>
        <w:jc w:val="center"/>
        <w:rPr>
          <w:rFonts w:eastAsia="黑体"/>
          <w:sz w:val="18"/>
          <w:szCs w:val="18"/>
        </w:rPr>
      </w:pPr>
      <w:r>
        <w:rPr>
          <w:rFonts w:eastAsia="黑体"/>
          <w:sz w:val="18"/>
          <w:szCs w:val="18"/>
        </w:rPr>
        <w:t xml:space="preserve">图3.9 </w:t>
      </w:r>
      <w:r>
        <w:rPr>
          <w:rFonts w:hint="eastAsia" w:eastAsia="黑体"/>
          <w:sz w:val="18"/>
          <w:szCs w:val="18"/>
        </w:rPr>
        <w:t>分体式电机实验示教模式界面</w:t>
      </w:r>
    </w:p>
    <w:p>
      <w:pPr>
        <w:spacing w:line="360" w:lineRule="auto"/>
        <w:ind w:firstLine="420" w:firstLineChars="200"/>
      </w:pPr>
      <w:r>
        <w:rPr>
          <w:rFonts w:hint="eastAsia"/>
        </w:rPr>
        <w:t>4）点击学习模式自主完成整个编码器的装配；</w:t>
      </w:r>
    </w:p>
    <w:p>
      <w:pPr>
        <w:ind w:firstLine="420" w:firstLineChars="200"/>
      </w:pPr>
      <w:r>
        <w:drawing>
          <wp:inline distT="0" distB="0" distL="0" distR="0">
            <wp:extent cx="4730750" cy="2756535"/>
            <wp:effectExtent l="0" t="0" r="0" b="571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0"/>
                    <a:stretch>
                      <a:fillRect/>
                    </a:stretch>
                  </pic:blipFill>
                  <pic:spPr>
                    <a:xfrm>
                      <a:off x="0" y="0"/>
                      <a:ext cx="4747745" cy="2766100"/>
                    </a:xfrm>
                    <a:prstGeom prst="rect">
                      <a:avLst/>
                    </a:prstGeom>
                  </pic:spPr>
                </pic:pic>
              </a:graphicData>
            </a:graphic>
          </wp:inline>
        </w:drawing>
      </w:r>
    </w:p>
    <w:p>
      <w:pPr>
        <w:spacing w:afterLines="50"/>
        <w:jc w:val="center"/>
        <w:rPr>
          <w:rFonts w:eastAsia="黑体"/>
          <w:sz w:val="18"/>
          <w:szCs w:val="18"/>
        </w:rPr>
      </w:pPr>
      <w:r>
        <w:rPr>
          <w:rFonts w:eastAsia="黑体"/>
          <w:sz w:val="18"/>
          <w:szCs w:val="18"/>
        </w:rPr>
        <w:t xml:space="preserve">图3.10 </w:t>
      </w:r>
      <w:r>
        <w:rPr>
          <w:rFonts w:hint="eastAsia" w:eastAsia="黑体"/>
          <w:sz w:val="18"/>
          <w:szCs w:val="18"/>
        </w:rPr>
        <w:t>分体式电机实验学习模式界面</w:t>
      </w:r>
    </w:p>
    <w:p>
      <w:pPr>
        <w:pStyle w:val="39"/>
        <w:numPr>
          <w:ilvl w:val="0"/>
          <w:numId w:val="2"/>
        </w:numPr>
        <w:spacing w:line="360" w:lineRule="auto"/>
        <w:ind w:firstLineChars="0"/>
      </w:pPr>
      <w:r>
        <w:rPr>
          <w:rFonts w:hint="eastAsia"/>
        </w:rPr>
        <w:t>点击返回按钮，返回实验室</w:t>
      </w:r>
    </w:p>
    <w:p>
      <w:pPr>
        <w:pStyle w:val="39"/>
        <w:numPr>
          <w:ilvl w:val="0"/>
          <w:numId w:val="3"/>
        </w:numPr>
        <w:spacing w:line="360" w:lineRule="auto"/>
        <w:ind w:firstLineChars="0"/>
      </w:pPr>
      <w:bookmarkStart w:id="17" w:name="_Hlk14456188"/>
      <w:r>
        <w:rPr>
          <w:rFonts w:hint="eastAsia"/>
        </w:rPr>
        <w:t>光电部件</w:t>
      </w:r>
      <w:bookmarkEnd w:id="17"/>
      <w:r>
        <w:rPr>
          <w:rFonts w:hint="eastAsia"/>
        </w:rPr>
        <w:t>子实验</w:t>
      </w:r>
    </w:p>
    <w:p>
      <w:pPr>
        <w:spacing w:line="360" w:lineRule="auto"/>
        <w:ind w:firstLine="420" w:firstLineChars="200"/>
      </w:pPr>
      <w:r>
        <w:rPr>
          <w:rFonts w:hint="eastAsia"/>
        </w:rPr>
        <w:t>1）点击光电部件实验按钮，开始光电部件相关实验，光电部件高亮显示，展示光电部件在整个武器系统中的位置；</w:t>
      </w:r>
    </w:p>
    <w:p>
      <w:pPr>
        <w:ind w:firstLine="420" w:firstLineChars="200"/>
      </w:pPr>
      <w:r>
        <w:drawing>
          <wp:inline distT="0" distB="0" distL="0" distR="0">
            <wp:extent cx="4689475" cy="2756535"/>
            <wp:effectExtent l="0" t="0" r="0" b="571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699606" cy="2763010"/>
                    </a:xfrm>
                    <a:prstGeom prst="rect">
                      <a:avLst/>
                    </a:prstGeom>
                    <a:noFill/>
                    <a:ln>
                      <a:noFill/>
                    </a:ln>
                  </pic:spPr>
                </pic:pic>
              </a:graphicData>
            </a:graphic>
          </wp:inline>
        </w:drawing>
      </w:r>
    </w:p>
    <w:p>
      <w:pPr>
        <w:spacing w:afterLines="50"/>
        <w:jc w:val="center"/>
        <w:rPr>
          <w:rFonts w:eastAsia="黑体"/>
          <w:sz w:val="18"/>
          <w:szCs w:val="18"/>
        </w:rPr>
      </w:pPr>
      <w:r>
        <w:rPr>
          <w:rFonts w:eastAsia="黑体"/>
          <w:sz w:val="18"/>
          <w:szCs w:val="18"/>
        </w:rPr>
        <w:t xml:space="preserve">图3.11 </w:t>
      </w:r>
      <w:r>
        <w:rPr>
          <w:rFonts w:hint="eastAsia" w:eastAsia="黑体"/>
          <w:sz w:val="18"/>
          <w:szCs w:val="18"/>
        </w:rPr>
        <w:t>开启光电部件实验操作界面</w:t>
      </w:r>
    </w:p>
    <w:p>
      <w:pPr>
        <w:pStyle w:val="39"/>
        <w:numPr>
          <w:ilvl w:val="0"/>
          <w:numId w:val="4"/>
        </w:numPr>
        <w:spacing w:line="360" w:lineRule="auto"/>
        <w:ind w:left="777" w:hanging="357" w:firstLineChars="0"/>
      </w:pPr>
      <w:r>
        <w:rPr>
          <w:rFonts w:hint="eastAsia"/>
        </w:rPr>
        <w:t>点击光电组件装配按钮，进入光电组件相关实验场景，可进入示教模式和学习模式；</w:t>
      </w:r>
    </w:p>
    <w:p>
      <w:pPr>
        <w:ind w:firstLine="420" w:firstLineChars="200"/>
      </w:pPr>
      <w:r>
        <w:rPr>
          <w:rFonts w:hint="eastAsia"/>
        </w:rPr>
        <w:drawing>
          <wp:inline distT="0" distB="0" distL="0" distR="0">
            <wp:extent cx="4730750" cy="2667000"/>
            <wp:effectExtent l="0" t="0" r="0" b="0"/>
            <wp:docPr id="50" name="图片 50" descr="屏幕捕获_2018_09_17_06_35_03_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屏幕捕获_2018_09_17_06_35_03_5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749707" cy="2677687"/>
                    </a:xfrm>
                    <a:prstGeom prst="rect">
                      <a:avLst/>
                    </a:prstGeom>
                    <a:noFill/>
                    <a:ln>
                      <a:noFill/>
                    </a:ln>
                  </pic:spPr>
                </pic:pic>
              </a:graphicData>
            </a:graphic>
          </wp:inline>
        </w:drawing>
      </w:r>
    </w:p>
    <w:p>
      <w:pPr>
        <w:spacing w:afterLines="50"/>
        <w:jc w:val="center"/>
        <w:rPr>
          <w:rFonts w:eastAsia="黑体"/>
          <w:sz w:val="18"/>
          <w:szCs w:val="18"/>
        </w:rPr>
      </w:pPr>
      <w:r>
        <w:rPr>
          <w:rFonts w:eastAsia="黑体"/>
          <w:sz w:val="18"/>
          <w:szCs w:val="18"/>
        </w:rPr>
        <w:t xml:space="preserve">图3.12 </w:t>
      </w:r>
      <w:r>
        <w:rPr>
          <w:rFonts w:hint="eastAsia" w:eastAsia="黑体"/>
          <w:sz w:val="18"/>
          <w:szCs w:val="18"/>
        </w:rPr>
        <w:t>光电组件实验模式选择界面</w:t>
      </w:r>
    </w:p>
    <w:p>
      <w:pPr>
        <w:spacing w:line="360" w:lineRule="auto"/>
        <w:ind w:firstLine="420" w:firstLineChars="200"/>
      </w:pPr>
      <w:r>
        <w:rPr>
          <w:rFonts w:hint="eastAsia"/>
        </w:rPr>
        <w:t>3）</w:t>
      </w:r>
      <w:bookmarkStart w:id="18" w:name="_Hlk14443603"/>
      <w:r>
        <w:rPr>
          <w:rFonts w:hint="eastAsia"/>
        </w:rPr>
        <w:t>示教模式下，左侧显示部分装配过程的注意事项和装配关系，右侧显示整个装配流程及现在装配零件所在工序的位置，所有完成的装配均以变颜色显示，直到所有零件变颜色则表示装配完成；</w:t>
      </w:r>
      <w:bookmarkEnd w:id="18"/>
    </w:p>
    <w:p>
      <w:pPr>
        <w:ind w:firstLine="420" w:firstLineChars="200"/>
      </w:pPr>
      <w:r>
        <w:rPr>
          <w:rFonts w:hint="eastAsia"/>
        </w:rPr>
        <w:drawing>
          <wp:inline distT="0" distB="0" distL="0" distR="0">
            <wp:extent cx="4710430" cy="2784475"/>
            <wp:effectExtent l="0" t="0" r="0" b="0"/>
            <wp:docPr id="47" name="图片 47" descr="屏幕捕获_2018_09_17_06_36_03_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屏幕捕获_2018_09_17_06_36_03_66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720089" cy="2790474"/>
                    </a:xfrm>
                    <a:prstGeom prst="rect">
                      <a:avLst/>
                    </a:prstGeom>
                    <a:noFill/>
                    <a:ln>
                      <a:noFill/>
                    </a:ln>
                  </pic:spPr>
                </pic:pic>
              </a:graphicData>
            </a:graphic>
          </wp:inline>
        </w:drawing>
      </w:r>
    </w:p>
    <w:p>
      <w:pPr>
        <w:spacing w:afterLines="50"/>
        <w:jc w:val="center"/>
        <w:rPr>
          <w:rFonts w:eastAsia="黑体"/>
          <w:sz w:val="18"/>
          <w:szCs w:val="18"/>
        </w:rPr>
      </w:pPr>
      <w:r>
        <w:rPr>
          <w:rFonts w:hint="eastAsia" w:eastAsia="黑体"/>
          <w:sz w:val="18"/>
          <w:szCs w:val="18"/>
        </w:rPr>
        <w:t>图</w:t>
      </w:r>
      <w:r>
        <w:rPr>
          <w:rFonts w:eastAsia="黑体"/>
          <w:sz w:val="18"/>
          <w:szCs w:val="18"/>
        </w:rPr>
        <w:t>3.13 装配外圆螺母示意图</w:t>
      </w:r>
    </w:p>
    <w:p>
      <w:pPr>
        <w:ind w:firstLine="420" w:firstLineChars="200"/>
      </w:pPr>
      <w:r>
        <w:rPr>
          <w:rFonts w:hint="eastAsia"/>
        </w:rPr>
        <w:t>4）学习模式下，右侧提供简单的装配工具让装配者选择；</w:t>
      </w:r>
    </w:p>
    <w:p>
      <w:pPr>
        <w:ind w:firstLine="420" w:firstLineChars="200"/>
      </w:pPr>
      <w:r>
        <w:rPr>
          <w:rFonts w:hint="eastAsia"/>
        </w:rPr>
        <w:drawing>
          <wp:inline distT="0" distB="0" distL="0" distR="0">
            <wp:extent cx="4744720" cy="2736215"/>
            <wp:effectExtent l="0" t="0" r="0" b="6985"/>
            <wp:docPr id="39" name="图片 39" descr="屏幕捕获_2018_09_17_06_40_40_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屏幕捕获_2018_09_17_06_40_40_5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755263" cy="2742353"/>
                    </a:xfrm>
                    <a:prstGeom prst="rect">
                      <a:avLst/>
                    </a:prstGeom>
                    <a:noFill/>
                    <a:ln>
                      <a:noFill/>
                    </a:ln>
                  </pic:spPr>
                </pic:pic>
              </a:graphicData>
            </a:graphic>
          </wp:inline>
        </w:drawing>
      </w:r>
    </w:p>
    <w:p>
      <w:pPr>
        <w:spacing w:afterLines="50"/>
        <w:jc w:val="center"/>
        <w:rPr>
          <w:rFonts w:eastAsia="黑体"/>
          <w:sz w:val="18"/>
          <w:szCs w:val="18"/>
        </w:rPr>
      </w:pPr>
      <w:r>
        <w:rPr>
          <w:rFonts w:hint="eastAsia" w:eastAsia="黑体"/>
          <w:sz w:val="18"/>
          <w:szCs w:val="18"/>
        </w:rPr>
        <w:t>3</w:t>
      </w:r>
      <w:r>
        <w:rPr>
          <w:rFonts w:eastAsia="黑体"/>
          <w:sz w:val="18"/>
          <w:szCs w:val="18"/>
        </w:rPr>
        <w:t xml:space="preserve">.14 </w:t>
      </w:r>
      <w:r>
        <w:rPr>
          <w:rFonts w:hint="eastAsia" w:eastAsia="黑体"/>
          <w:sz w:val="18"/>
          <w:szCs w:val="18"/>
        </w:rPr>
        <w:t>装配十字螺钉示意图</w:t>
      </w:r>
    </w:p>
    <w:p>
      <w:pPr>
        <w:spacing w:line="360" w:lineRule="auto"/>
        <w:ind w:firstLine="420" w:firstLineChars="200"/>
      </w:pPr>
      <w:r>
        <w:rPr>
          <w:rFonts w:hint="eastAsia"/>
        </w:rPr>
        <w:t>5）学习模式完成后返回主界面。</w:t>
      </w:r>
    </w:p>
    <w:p>
      <w:pPr>
        <w:spacing w:line="360" w:lineRule="auto"/>
        <w:ind w:firstLine="420" w:firstLineChars="200"/>
      </w:pPr>
      <w:r>
        <w:rPr>
          <w:rFonts w:hint="eastAsia"/>
        </w:rPr>
        <w:t>（七）武器系统整机子实验</w:t>
      </w:r>
    </w:p>
    <w:p>
      <w:pPr>
        <w:spacing w:line="360" w:lineRule="auto"/>
        <w:ind w:firstLine="420" w:firstLineChars="200"/>
      </w:pPr>
      <w:r>
        <w:rPr>
          <w:rFonts w:hint="eastAsia"/>
        </w:rPr>
        <w:t>1）点击武器系统整机实验按钮，开始武器系统整机相关实验，武器系统整机高亮显示，展示武器系统在整个武器系统中的位置；</w:t>
      </w:r>
    </w:p>
    <w:p>
      <w:pPr>
        <w:spacing w:line="360" w:lineRule="auto"/>
        <w:ind w:firstLine="420" w:firstLineChars="200"/>
      </w:pPr>
      <w:r>
        <w:rPr>
          <w:rFonts w:hint="eastAsia"/>
        </w:rPr>
        <w:t>2）点击武器系统整机装配按钮，进入武器系统整机装配场景进行装配，通过视角转换和零件高亮显示并显示该零件的名称；</w:t>
      </w:r>
    </w:p>
    <w:p>
      <w:pPr>
        <w:ind w:firstLine="420" w:firstLineChars="200"/>
      </w:pPr>
      <w:r>
        <w:drawing>
          <wp:inline distT="0" distB="0" distL="0" distR="0">
            <wp:extent cx="4716145" cy="2660015"/>
            <wp:effectExtent l="0" t="0" r="8255" b="698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4733387" cy="2669611"/>
                    </a:xfrm>
                    <a:prstGeom prst="rect">
                      <a:avLst/>
                    </a:prstGeom>
                    <a:noFill/>
                    <a:ln>
                      <a:noFill/>
                    </a:ln>
                  </pic:spPr>
                </pic:pic>
              </a:graphicData>
            </a:graphic>
          </wp:inline>
        </w:drawing>
      </w:r>
    </w:p>
    <w:p>
      <w:pPr>
        <w:spacing w:afterLines="50"/>
        <w:jc w:val="center"/>
        <w:rPr>
          <w:rFonts w:eastAsia="黑体"/>
          <w:sz w:val="18"/>
          <w:szCs w:val="18"/>
        </w:rPr>
      </w:pPr>
      <w:r>
        <w:rPr>
          <w:rFonts w:eastAsia="黑体"/>
          <w:sz w:val="18"/>
          <w:szCs w:val="18"/>
        </w:rPr>
        <w:t xml:space="preserve">图3.15 </w:t>
      </w:r>
      <w:r>
        <w:rPr>
          <w:rFonts w:hint="eastAsia" w:eastAsia="黑体"/>
          <w:sz w:val="18"/>
          <w:szCs w:val="18"/>
        </w:rPr>
        <w:t>开启武器系统实验操作界面</w:t>
      </w:r>
    </w:p>
    <w:p>
      <w:pPr>
        <w:spacing w:line="360" w:lineRule="auto"/>
        <w:ind w:firstLine="420" w:firstLineChars="200"/>
      </w:pPr>
      <w:r>
        <w:rPr>
          <w:rFonts w:hint="eastAsia"/>
        </w:rPr>
        <w:t>3）示教模式下，左侧显示部分装配过程的注意事项和装配关系，右侧显示整个装配流程及现在装配零件所在工序的位置，所有完成的装配均以变颜色显示，直到所有零件变颜色则表示装配完成；</w:t>
      </w:r>
    </w:p>
    <w:p>
      <w:pPr>
        <w:spacing w:line="360" w:lineRule="auto"/>
        <w:ind w:firstLine="420" w:firstLineChars="200"/>
      </w:pPr>
      <w:r>
        <w:rPr>
          <w:rFonts w:hint="eastAsia"/>
        </w:rPr>
        <w:t>4）学习模式下，右侧提供简单的装配工具让装配者选择，点击相应部件完成整个武器系统整机的装配；</w:t>
      </w:r>
    </w:p>
    <w:p>
      <w:pPr>
        <w:ind w:firstLine="420" w:firstLineChars="200"/>
      </w:pPr>
      <w:r>
        <w:drawing>
          <wp:inline distT="0" distB="0" distL="0" distR="0">
            <wp:extent cx="4765675" cy="272923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6"/>
                    <a:stretch>
                      <a:fillRect/>
                    </a:stretch>
                  </pic:blipFill>
                  <pic:spPr>
                    <a:xfrm>
                      <a:off x="0" y="0"/>
                      <a:ext cx="4771118" cy="2732182"/>
                    </a:xfrm>
                    <a:prstGeom prst="rect">
                      <a:avLst/>
                    </a:prstGeom>
                  </pic:spPr>
                </pic:pic>
              </a:graphicData>
            </a:graphic>
          </wp:inline>
        </w:drawing>
      </w:r>
    </w:p>
    <w:p>
      <w:pPr>
        <w:spacing w:afterLines="50"/>
        <w:jc w:val="center"/>
        <w:rPr>
          <w:rFonts w:eastAsia="黑体"/>
          <w:sz w:val="18"/>
          <w:szCs w:val="18"/>
        </w:rPr>
      </w:pPr>
      <w:r>
        <w:rPr>
          <w:rFonts w:eastAsia="黑体"/>
          <w:sz w:val="18"/>
          <w:szCs w:val="18"/>
        </w:rPr>
        <w:t xml:space="preserve">图3.16 </w:t>
      </w:r>
      <w:r>
        <w:rPr>
          <w:rFonts w:hint="eastAsia" w:eastAsia="黑体"/>
          <w:sz w:val="18"/>
          <w:szCs w:val="18"/>
        </w:rPr>
        <w:t>武器系统实验学习模式界面</w:t>
      </w:r>
    </w:p>
    <w:p>
      <w:pPr>
        <w:spacing w:line="360" w:lineRule="auto"/>
        <w:ind w:firstLine="420" w:firstLineChars="200"/>
      </w:pPr>
      <w:r>
        <w:rPr>
          <w:rFonts w:hint="eastAsia"/>
        </w:rPr>
        <w:t>5）装配完成后点击返回按钮，返回实验室。</w:t>
      </w:r>
    </w:p>
    <w:p>
      <w:pPr>
        <w:spacing w:line="360" w:lineRule="auto"/>
        <w:ind w:firstLine="420" w:firstLineChars="200"/>
      </w:pPr>
      <w:r>
        <w:rPr>
          <w:rFonts w:hint="eastAsia"/>
        </w:rPr>
        <w:t>（八）电机驱动实验</w:t>
      </w:r>
    </w:p>
    <w:p>
      <w:pPr>
        <w:spacing w:line="360" w:lineRule="auto"/>
        <w:ind w:firstLine="420" w:firstLineChars="200"/>
      </w:pPr>
      <w:r>
        <w:rPr>
          <w:rFonts w:hint="eastAsia"/>
        </w:rPr>
        <w:t>1）点击电机驱动实验按钮，开始电机驱动相关实验，该实验包含两个模块：驱动组成、驱动原理；</w:t>
      </w:r>
    </w:p>
    <w:p>
      <w:pPr>
        <w:spacing w:line="360" w:lineRule="auto"/>
        <w:ind w:firstLine="420" w:firstLineChars="200"/>
      </w:pPr>
      <w:r>
        <w:rPr>
          <w:rFonts w:hint="eastAsia"/>
        </w:rPr>
        <w:t>2）点击驱动组成，进入电机驱动电路组成界面；</w:t>
      </w:r>
    </w:p>
    <w:p>
      <w:pPr>
        <w:spacing w:line="360" w:lineRule="auto"/>
        <w:ind w:firstLine="420" w:firstLineChars="200"/>
      </w:pPr>
      <w:r>
        <w:rPr>
          <w:rFonts w:hint="eastAsia"/>
        </w:rPr>
        <w:t>3）击鼠标将选中电路模块拖入电路框架图中对应的位置，选中位置正确则该电路模块绿色显示，选择位置错误，则该电路模块红色显示，并弹出错误提示，弹出一次错误，扣除5分；</w:t>
      </w:r>
    </w:p>
    <w:p>
      <w:pPr>
        <w:ind w:firstLine="420" w:firstLineChars="200"/>
      </w:pPr>
      <w:r>
        <w:drawing>
          <wp:inline distT="0" distB="0" distL="0" distR="0">
            <wp:extent cx="4751705" cy="280543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27"/>
                    <a:stretch>
                      <a:fillRect/>
                    </a:stretch>
                  </pic:blipFill>
                  <pic:spPr>
                    <a:xfrm>
                      <a:off x="0" y="0"/>
                      <a:ext cx="4762052" cy="2811654"/>
                    </a:xfrm>
                    <a:prstGeom prst="rect">
                      <a:avLst/>
                    </a:prstGeom>
                  </pic:spPr>
                </pic:pic>
              </a:graphicData>
            </a:graphic>
          </wp:inline>
        </w:drawing>
      </w:r>
    </w:p>
    <w:p>
      <w:pPr>
        <w:spacing w:afterLines="50"/>
        <w:jc w:val="center"/>
        <w:rPr>
          <w:rFonts w:eastAsia="黑体"/>
          <w:sz w:val="18"/>
          <w:szCs w:val="18"/>
        </w:rPr>
      </w:pPr>
      <w:r>
        <w:rPr>
          <w:rFonts w:eastAsia="黑体"/>
          <w:sz w:val="18"/>
          <w:szCs w:val="18"/>
        </w:rPr>
        <w:t xml:space="preserve">图3.17 </w:t>
      </w:r>
      <w:r>
        <w:rPr>
          <w:rFonts w:hint="eastAsia" w:eastAsia="黑体"/>
          <w:sz w:val="18"/>
          <w:szCs w:val="18"/>
        </w:rPr>
        <w:t>电机驱动电路组成界面</w:t>
      </w:r>
    </w:p>
    <w:p>
      <w:pPr>
        <w:spacing w:line="360" w:lineRule="auto"/>
        <w:ind w:left="420"/>
      </w:pPr>
      <w:r>
        <w:rPr>
          <w:rFonts w:hint="eastAsia"/>
        </w:rPr>
        <w:t>4）完成后返回主界面点击驱动原理，进入电路板连接界面；</w:t>
      </w:r>
    </w:p>
    <w:p>
      <w:pPr>
        <w:spacing w:line="360" w:lineRule="auto"/>
        <w:ind w:firstLine="420" w:firstLineChars="200"/>
      </w:pPr>
      <w:r>
        <w:t>5</w:t>
      </w:r>
      <w:r>
        <w:rPr>
          <w:rFonts w:hint="eastAsia"/>
        </w:rPr>
        <w:t>）选择对应两个连线端子，选择端子正确则显示连接导线；选择错误则弹出连线错误提示，弹出一次错误提示，扣除5分，继续点击相应接线端子完成电路连接；</w:t>
      </w:r>
    </w:p>
    <w:p>
      <w:pPr>
        <w:ind w:firstLine="420" w:firstLineChars="200"/>
      </w:pPr>
      <w:r>
        <w:drawing>
          <wp:inline distT="0" distB="0" distL="0" distR="0">
            <wp:extent cx="4757420" cy="2770505"/>
            <wp:effectExtent l="0" t="0" r="508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8"/>
                    <a:stretch>
                      <a:fillRect/>
                    </a:stretch>
                  </pic:blipFill>
                  <pic:spPr>
                    <a:xfrm>
                      <a:off x="0" y="0"/>
                      <a:ext cx="4763688" cy="2774211"/>
                    </a:xfrm>
                    <a:prstGeom prst="rect">
                      <a:avLst/>
                    </a:prstGeom>
                  </pic:spPr>
                </pic:pic>
              </a:graphicData>
            </a:graphic>
          </wp:inline>
        </w:drawing>
      </w:r>
    </w:p>
    <w:p>
      <w:pPr>
        <w:spacing w:afterLines="50"/>
        <w:jc w:val="center"/>
        <w:rPr>
          <w:rFonts w:eastAsia="黑体"/>
          <w:sz w:val="18"/>
          <w:szCs w:val="18"/>
        </w:rPr>
      </w:pPr>
      <w:r>
        <w:rPr>
          <w:rFonts w:eastAsia="黑体"/>
          <w:sz w:val="18"/>
          <w:szCs w:val="18"/>
        </w:rPr>
        <w:t xml:space="preserve">图3.18 </w:t>
      </w:r>
      <w:r>
        <w:rPr>
          <w:rFonts w:hint="eastAsia" w:eastAsia="黑体"/>
          <w:sz w:val="18"/>
          <w:szCs w:val="18"/>
        </w:rPr>
        <w:t>电路板连接界面</w:t>
      </w:r>
    </w:p>
    <w:p>
      <w:pPr>
        <w:spacing w:line="360" w:lineRule="auto"/>
        <w:ind w:left="420"/>
      </w:pPr>
      <w:r>
        <w:rPr>
          <w:rFonts w:hint="eastAsia"/>
        </w:rPr>
        <w:t>6）全部连接正确，此时对应各示波器显示窗口显示各连接处波形，旋动输入电压旋钮，LED显示器随旋钮旋转显示相应电压，各示波器窗口显示波形变化；</w:t>
      </w:r>
    </w:p>
    <w:p>
      <w:pPr>
        <w:ind w:firstLine="420" w:firstLineChars="200"/>
      </w:pPr>
      <w:r>
        <w:drawing>
          <wp:inline distT="0" distB="0" distL="0" distR="0">
            <wp:extent cx="4716145" cy="2839720"/>
            <wp:effectExtent l="0" t="0" r="825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29"/>
                    <a:stretch>
                      <a:fillRect/>
                    </a:stretch>
                  </pic:blipFill>
                  <pic:spPr>
                    <a:xfrm>
                      <a:off x="0" y="0"/>
                      <a:ext cx="4737293" cy="2852695"/>
                    </a:xfrm>
                    <a:prstGeom prst="rect">
                      <a:avLst/>
                    </a:prstGeom>
                  </pic:spPr>
                </pic:pic>
              </a:graphicData>
            </a:graphic>
          </wp:inline>
        </w:drawing>
      </w:r>
    </w:p>
    <w:p>
      <w:pPr>
        <w:spacing w:afterLines="50"/>
        <w:jc w:val="center"/>
        <w:rPr>
          <w:rFonts w:eastAsia="黑体"/>
          <w:sz w:val="18"/>
          <w:szCs w:val="18"/>
        </w:rPr>
      </w:pPr>
      <w:r>
        <w:rPr>
          <w:rFonts w:eastAsia="黑体"/>
          <w:sz w:val="18"/>
          <w:szCs w:val="18"/>
        </w:rPr>
        <w:t xml:space="preserve">图3.19 </w:t>
      </w:r>
      <w:r>
        <w:rPr>
          <w:rFonts w:hint="eastAsia" w:eastAsia="黑体"/>
          <w:sz w:val="18"/>
          <w:szCs w:val="18"/>
        </w:rPr>
        <w:t>示波器窗口显示界面</w:t>
      </w:r>
    </w:p>
    <w:p>
      <w:pPr>
        <w:spacing w:line="360" w:lineRule="auto"/>
        <w:ind w:firstLine="420" w:firstLineChars="200"/>
      </w:pPr>
      <w:r>
        <w:rPr>
          <w:rFonts w:hint="eastAsia"/>
        </w:rPr>
        <w:t>7）根据提示框中的波形图选择正确的线路和电流流向，对实验数据进行分析总结；</w:t>
      </w:r>
    </w:p>
    <w:p>
      <w:pPr>
        <w:ind w:firstLine="420" w:firstLineChars="200"/>
      </w:pPr>
      <w:r>
        <w:drawing>
          <wp:inline distT="0" distB="0" distL="0" distR="0">
            <wp:extent cx="4751070" cy="2867660"/>
            <wp:effectExtent l="0" t="0" r="0" b="889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30"/>
                    <a:stretch>
                      <a:fillRect/>
                    </a:stretch>
                  </pic:blipFill>
                  <pic:spPr>
                    <a:xfrm>
                      <a:off x="0" y="0"/>
                      <a:ext cx="4764558" cy="2876033"/>
                    </a:xfrm>
                    <a:prstGeom prst="rect">
                      <a:avLst/>
                    </a:prstGeom>
                  </pic:spPr>
                </pic:pic>
              </a:graphicData>
            </a:graphic>
          </wp:inline>
        </w:drawing>
      </w:r>
    </w:p>
    <w:p>
      <w:pPr>
        <w:spacing w:afterLines="50"/>
        <w:jc w:val="center"/>
        <w:rPr>
          <w:rFonts w:eastAsia="黑体"/>
          <w:sz w:val="18"/>
          <w:szCs w:val="18"/>
        </w:rPr>
      </w:pPr>
      <w:r>
        <w:rPr>
          <w:rFonts w:eastAsia="黑体"/>
          <w:sz w:val="18"/>
          <w:szCs w:val="18"/>
        </w:rPr>
        <w:t xml:space="preserve">图3.20 </w:t>
      </w:r>
      <w:r>
        <w:rPr>
          <w:rFonts w:hint="eastAsia" w:eastAsia="黑体"/>
          <w:sz w:val="18"/>
          <w:szCs w:val="18"/>
        </w:rPr>
        <w:t>电流流向选择界面</w:t>
      </w:r>
    </w:p>
    <w:p>
      <w:pPr>
        <w:pStyle w:val="39"/>
        <w:numPr>
          <w:ilvl w:val="0"/>
          <w:numId w:val="5"/>
        </w:numPr>
        <w:spacing w:line="360" w:lineRule="auto"/>
        <w:ind w:firstLineChars="0"/>
      </w:pPr>
      <w:r>
        <w:rPr>
          <w:rFonts w:hint="eastAsia"/>
        </w:rPr>
        <w:t>点击返回按钮，返回实验室场景。</w:t>
      </w:r>
    </w:p>
    <w:p>
      <w:pPr>
        <w:spacing w:line="360" w:lineRule="auto"/>
        <w:ind w:firstLine="420" w:firstLineChars="200"/>
      </w:pPr>
      <w:r>
        <w:rPr>
          <w:rFonts w:hint="eastAsia"/>
        </w:rPr>
        <w:t>（九）光电闭环控制实验</w:t>
      </w:r>
    </w:p>
    <w:p>
      <w:pPr>
        <w:spacing w:line="360" w:lineRule="auto"/>
        <w:ind w:firstLine="420" w:firstLineChars="200"/>
      </w:pPr>
      <w:r>
        <w:rPr>
          <w:rFonts w:hint="eastAsia"/>
        </w:rPr>
        <w:t>点击光电闭环控制实验按钮，开始闭环控制实验，通过拖动P、I、D调整按钮，调整相应数值，图形显示窗口显示相应阶跃向应曲线变化，观察、记录实验数据并进行分析总结。</w:t>
      </w:r>
    </w:p>
    <w:p>
      <w:pPr>
        <w:ind w:firstLine="420" w:firstLineChars="200"/>
      </w:pPr>
      <w:r>
        <w:drawing>
          <wp:inline distT="0" distB="0" distL="0" distR="0">
            <wp:extent cx="4730750" cy="2791460"/>
            <wp:effectExtent l="0" t="0" r="0" b="889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31"/>
                    <a:stretch>
                      <a:fillRect/>
                    </a:stretch>
                  </pic:blipFill>
                  <pic:spPr>
                    <a:xfrm>
                      <a:off x="0" y="0"/>
                      <a:ext cx="4736895" cy="2795317"/>
                    </a:xfrm>
                    <a:prstGeom prst="rect">
                      <a:avLst/>
                    </a:prstGeom>
                  </pic:spPr>
                </pic:pic>
              </a:graphicData>
            </a:graphic>
          </wp:inline>
        </w:drawing>
      </w:r>
    </w:p>
    <w:p>
      <w:pPr>
        <w:spacing w:afterLines="50"/>
        <w:jc w:val="center"/>
        <w:rPr>
          <w:rFonts w:eastAsia="黑体"/>
          <w:sz w:val="18"/>
          <w:szCs w:val="18"/>
        </w:rPr>
      </w:pPr>
      <w:r>
        <w:rPr>
          <w:rFonts w:eastAsia="黑体"/>
          <w:sz w:val="18"/>
          <w:szCs w:val="18"/>
        </w:rPr>
        <w:t xml:space="preserve">图3.21 </w:t>
      </w:r>
      <w:r>
        <w:rPr>
          <w:rFonts w:hint="eastAsia" w:eastAsia="黑体"/>
          <w:sz w:val="18"/>
          <w:szCs w:val="18"/>
        </w:rPr>
        <w:t>光电闭环控制实验界面</w:t>
      </w:r>
    </w:p>
    <w:sectPr>
      <w:footerReference r:id="rId5" w:type="default"/>
      <w:pgSz w:w="11906" w:h="16838"/>
      <w:pgMar w:top="1440" w:right="1800" w:bottom="1440" w:left="1800" w:header="851" w:footer="850" w:gutter="0"/>
      <w:pgNumType w:fmt="numberInDash"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Verdana">
    <w:panose1 w:val="020B0604030504040204"/>
    <w:charset w:val="00"/>
    <w:family w:val="swiss"/>
    <w:pitch w:val="default"/>
    <w:sig w:usb0="A10006FF" w:usb1="4000205B" w:usb2="0000001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Arial">
    <w:panose1 w:val="020B0604020202020204"/>
    <w:charset w:val="00"/>
    <w:family w:val="swiss"/>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p>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96041044"/>
      <w:docPartObj>
        <w:docPartGallery w:val="AutoText"/>
      </w:docPartObj>
    </w:sdtPr>
    <w:sdtContent>
      <w:p>
        <w:pPr>
          <w:pStyle w:val="12"/>
          <w:jc w:val="center"/>
        </w:pPr>
        <w:r>
          <w:fldChar w:fldCharType="begin"/>
        </w:r>
        <w:r>
          <w:instrText xml:space="preserve">PAGE   \* MERGEFORMAT</w:instrText>
        </w:r>
        <w:r>
          <w:fldChar w:fldCharType="separate"/>
        </w:r>
        <w:r>
          <w:rPr>
            <w:lang w:val="zh-CN"/>
          </w:rPr>
          <w:t>-</w:t>
        </w:r>
        <w:r>
          <w:t xml:space="preserve"> 13 -</w:t>
        </w:r>
        <w:r>
          <w:fldChar w:fldCharType="end"/>
        </w:r>
      </w:p>
    </w:sdtContent>
  </w:sdt>
  <w:p>
    <w:pPr>
      <w:pStyle w:val="1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rFonts w:hint="eastAsia"/>
      </w:rPr>
      <w:t>反坦克武器装备机电系统虚拟仿真综合实验指导书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24F2E"/>
    <w:multiLevelType w:val="multilevel"/>
    <w:tmpl w:val="02924F2E"/>
    <w:lvl w:ilvl="0" w:tentative="0">
      <w:start w:val="4"/>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
    <w:nsid w:val="351C3664"/>
    <w:multiLevelType w:val="multilevel"/>
    <w:tmpl w:val="351C3664"/>
    <w:lvl w:ilvl="0" w:tentative="0">
      <w:start w:val="2"/>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40844D1D"/>
    <w:multiLevelType w:val="multilevel"/>
    <w:tmpl w:val="40844D1D"/>
    <w:lvl w:ilvl="0" w:tentative="0">
      <w:start w:val="6"/>
      <w:numFmt w:val="japaneseCounting"/>
      <w:lvlText w:val="（%1）"/>
      <w:lvlJc w:val="left"/>
      <w:pPr>
        <w:ind w:left="1140" w:hanging="7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
    <w:nsid w:val="684C727B"/>
    <w:multiLevelType w:val="multilevel"/>
    <w:tmpl w:val="684C727B"/>
    <w:lvl w:ilvl="0" w:tentative="0">
      <w:start w:val="3"/>
      <w:numFmt w:val="decimal"/>
      <w:lvlText w:val="%1．"/>
      <w:lvlJc w:val="left"/>
      <w:pPr>
        <w:ind w:left="504" w:hanging="504"/>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73623FD0"/>
    <w:multiLevelType w:val="multilevel"/>
    <w:tmpl w:val="73623FD0"/>
    <w:lvl w:ilvl="0" w:tentative="0">
      <w:start w:val="8"/>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3"/>
  </w:num>
  <w:num w:numId="2">
    <w:abstractNumId w:val="0"/>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615A27"/>
    <w:rsid w:val="00006F8F"/>
    <w:rsid w:val="00013328"/>
    <w:rsid w:val="000563A0"/>
    <w:rsid w:val="000570A8"/>
    <w:rsid w:val="000736D4"/>
    <w:rsid w:val="00084528"/>
    <w:rsid w:val="000B2929"/>
    <w:rsid w:val="000C71D3"/>
    <w:rsid w:val="000D0C45"/>
    <w:rsid w:val="000D60DE"/>
    <w:rsid w:val="000F4BB2"/>
    <w:rsid w:val="0014791D"/>
    <w:rsid w:val="001506D6"/>
    <w:rsid w:val="0016252E"/>
    <w:rsid w:val="00184F30"/>
    <w:rsid w:val="001B689A"/>
    <w:rsid w:val="001C6178"/>
    <w:rsid w:val="001D5D75"/>
    <w:rsid w:val="001E0103"/>
    <w:rsid w:val="00204AC1"/>
    <w:rsid w:val="002434EF"/>
    <w:rsid w:val="00246D8F"/>
    <w:rsid w:val="00262BE0"/>
    <w:rsid w:val="00282B5A"/>
    <w:rsid w:val="002C681F"/>
    <w:rsid w:val="002C72C1"/>
    <w:rsid w:val="002D678A"/>
    <w:rsid w:val="0034050B"/>
    <w:rsid w:val="00376D4D"/>
    <w:rsid w:val="0039529F"/>
    <w:rsid w:val="003962B7"/>
    <w:rsid w:val="003B2CD3"/>
    <w:rsid w:val="003E4DA6"/>
    <w:rsid w:val="003E5976"/>
    <w:rsid w:val="0040055F"/>
    <w:rsid w:val="00410F1D"/>
    <w:rsid w:val="0042476A"/>
    <w:rsid w:val="004408E5"/>
    <w:rsid w:val="0044147B"/>
    <w:rsid w:val="0045268C"/>
    <w:rsid w:val="004529EE"/>
    <w:rsid w:val="00475E79"/>
    <w:rsid w:val="00490B75"/>
    <w:rsid w:val="004A1DE5"/>
    <w:rsid w:val="004B51A5"/>
    <w:rsid w:val="004D2F28"/>
    <w:rsid w:val="00515138"/>
    <w:rsid w:val="005214E3"/>
    <w:rsid w:val="005230D3"/>
    <w:rsid w:val="005374E0"/>
    <w:rsid w:val="00566599"/>
    <w:rsid w:val="00583BAD"/>
    <w:rsid w:val="00584352"/>
    <w:rsid w:val="005859E5"/>
    <w:rsid w:val="00590115"/>
    <w:rsid w:val="005F5A9B"/>
    <w:rsid w:val="00606B71"/>
    <w:rsid w:val="00612C7A"/>
    <w:rsid w:val="00615A27"/>
    <w:rsid w:val="00640B8D"/>
    <w:rsid w:val="00670338"/>
    <w:rsid w:val="006812BC"/>
    <w:rsid w:val="00685916"/>
    <w:rsid w:val="00686CAB"/>
    <w:rsid w:val="006C293E"/>
    <w:rsid w:val="006F4B2D"/>
    <w:rsid w:val="00717DBE"/>
    <w:rsid w:val="00741AC3"/>
    <w:rsid w:val="007455E3"/>
    <w:rsid w:val="0074765A"/>
    <w:rsid w:val="00781BFD"/>
    <w:rsid w:val="007A40EA"/>
    <w:rsid w:val="007D6655"/>
    <w:rsid w:val="007D7D4B"/>
    <w:rsid w:val="00801D9E"/>
    <w:rsid w:val="00811649"/>
    <w:rsid w:val="0081620C"/>
    <w:rsid w:val="00825D97"/>
    <w:rsid w:val="008349D3"/>
    <w:rsid w:val="00845E79"/>
    <w:rsid w:val="00863FE1"/>
    <w:rsid w:val="00874220"/>
    <w:rsid w:val="0088292C"/>
    <w:rsid w:val="008A399E"/>
    <w:rsid w:val="008B16B7"/>
    <w:rsid w:val="008B5EE7"/>
    <w:rsid w:val="008F0055"/>
    <w:rsid w:val="008F35D8"/>
    <w:rsid w:val="009105D0"/>
    <w:rsid w:val="009515C0"/>
    <w:rsid w:val="009609FD"/>
    <w:rsid w:val="009C364A"/>
    <w:rsid w:val="009D0356"/>
    <w:rsid w:val="009D6537"/>
    <w:rsid w:val="009F233B"/>
    <w:rsid w:val="00A25317"/>
    <w:rsid w:val="00A4132B"/>
    <w:rsid w:val="00A641BD"/>
    <w:rsid w:val="00AA4E30"/>
    <w:rsid w:val="00AB7CAE"/>
    <w:rsid w:val="00AC4065"/>
    <w:rsid w:val="00B352C2"/>
    <w:rsid w:val="00B45029"/>
    <w:rsid w:val="00B7530D"/>
    <w:rsid w:val="00BB0E16"/>
    <w:rsid w:val="00BD4114"/>
    <w:rsid w:val="00BE567D"/>
    <w:rsid w:val="00BF2664"/>
    <w:rsid w:val="00C15065"/>
    <w:rsid w:val="00C264AA"/>
    <w:rsid w:val="00C32AB3"/>
    <w:rsid w:val="00C47301"/>
    <w:rsid w:val="00C47801"/>
    <w:rsid w:val="00C61397"/>
    <w:rsid w:val="00C6360B"/>
    <w:rsid w:val="00C76B6F"/>
    <w:rsid w:val="00C85C9D"/>
    <w:rsid w:val="00CB60C8"/>
    <w:rsid w:val="00CC1F82"/>
    <w:rsid w:val="00D04859"/>
    <w:rsid w:val="00D21CD3"/>
    <w:rsid w:val="00D21F5C"/>
    <w:rsid w:val="00D25DC3"/>
    <w:rsid w:val="00D36FC5"/>
    <w:rsid w:val="00D3707E"/>
    <w:rsid w:val="00D40314"/>
    <w:rsid w:val="00D40C4D"/>
    <w:rsid w:val="00D53167"/>
    <w:rsid w:val="00D6383C"/>
    <w:rsid w:val="00D63CC4"/>
    <w:rsid w:val="00D73BD4"/>
    <w:rsid w:val="00D94A8B"/>
    <w:rsid w:val="00DA7C43"/>
    <w:rsid w:val="00DC1525"/>
    <w:rsid w:val="00DD18E0"/>
    <w:rsid w:val="00DD32ED"/>
    <w:rsid w:val="00DD5D72"/>
    <w:rsid w:val="00DE3A15"/>
    <w:rsid w:val="00DE5D23"/>
    <w:rsid w:val="00E32DA7"/>
    <w:rsid w:val="00E4396C"/>
    <w:rsid w:val="00E62EC2"/>
    <w:rsid w:val="00E65089"/>
    <w:rsid w:val="00E747DA"/>
    <w:rsid w:val="00EC6EF2"/>
    <w:rsid w:val="00F17237"/>
    <w:rsid w:val="00F31905"/>
    <w:rsid w:val="00F32CF0"/>
    <w:rsid w:val="00F37413"/>
    <w:rsid w:val="00F62E3F"/>
    <w:rsid w:val="00F66DB4"/>
    <w:rsid w:val="00F714CB"/>
    <w:rsid w:val="00F85A61"/>
    <w:rsid w:val="00F85FAD"/>
    <w:rsid w:val="00FA7ABF"/>
    <w:rsid w:val="00FD1010"/>
    <w:rsid w:val="00FD1F08"/>
    <w:rsid w:val="00FD41D7"/>
    <w:rsid w:val="00FE53A9"/>
    <w:rsid w:val="00FF72A6"/>
    <w:rsid w:val="026C36F1"/>
    <w:rsid w:val="030E19F7"/>
    <w:rsid w:val="08760405"/>
    <w:rsid w:val="0E7F70E1"/>
    <w:rsid w:val="0FC11EFD"/>
    <w:rsid w:val="17381F55"/>
    <w:rsid w:val="191655AA"/>
    <w:rsid w:val="267C5EDB"/>
    <w:rsid w:val="283C10CF"/>
    <w:rsid w:val="346834AC"/>
    <w:rsid w:val="3EA06033"/>
    <w:rsid w:val="3F732D65"/>
    <w:rsid w:val="44717DC3"/>
    <w:rsid w:val="4D365834"/>
    <w:rsid w:val="52CB47A5"/>
    <w:rsid w:val="54DE2AD4"/>
    <w:rsid w:val="61A66706"/>
    <w:rsid w:val="642A7CD0"/>
    <w:rsid w:val="645208A8"/>
    <w:rsid w:val="67EA1321"/>
    <w:rsid w:val="6C853C98"/>
    <w:rsid w:val="71115AE3"/>
    <w:rsid w:val="788826DD"/>
    <w:rsid w:val="7A97572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0"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31"/>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7"/>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8"/>
    <w:qFormat/>
    <w:uiPriority w:val="0"/>
    <w:pPr>
      <w:keepNext/>
      <w:keepLines/>
      <w:spacing w:before="260" w:after="260" w:line="416" w:lineRule="auto"/>
      <w:outlineLvl w:val="2"/>
    </w:pPr>
    <w:rPr>
      <w:b/>
      <w:bCs/>
      <w:sz w:val="32"/>
      <w:szCs w:val="32"/>
    </w:rPr>
  </w:style>
  <w:style w:type="paragraph" w:styleId="5">
    <w:name w:val="heading 4"/>
    <w:basedOn w:val="1"/>
    <w:next w:val="1"/>
    <w:link w:val="37"/>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1">
    <w:name w:val="Default Paragraph Font"/>
    <w:semiHidden/>
    <w:unhideWhenUsed/>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jc w:val="left"/>
    </w:pPr>
    <w:rPr>
      <w:rFonts w:asciiTheme="minorHAnsi" w:hAnsiTheme="minorHAnsi"/>
      <w:sz w:val="22"/>
      <w:szCs w:val="22"/>
    </w:rPr>
  </w:style>
  <w:style w:type="paragraph" w:styleId="7">
    <w:name w:val="caption"/>
    <w:basedOn w:val="1"/>
    <w:next w:val="1"/>
    <w:unhideWhenUsed/>
    <w:qFormat/>
    <w:uiPriority w:val="35"/>
    <w:pPr>
      <w:spacing w:line="288" w:lineRule="auto"/>
    </w:pPr>
    <w:rPr>
      <w:rFonts w:eastAsia="黑体" w:asciiTheme="majorHAnsi" w:hAnsiTheme="majorHAnsi" w:cstheme="majorBidi"/>
      <w:sz w:val="20"/>
    </w:rPr>
  </w:style>
  <w:style w:type="paragraph" w:styleId="8">
    <w:name w:val="toc 5"/>
    <w:basedOn w:val="1"/>
    <w:next w:val="1"/>
    <w:unhideWhenUsed/>
    <w:qFormat/>
    <w:uiPriority w:val="39"/>
    <w:pPr>
      <w:jc w:val="left"/>
    </w:pPr>
    <w:rPr>
      <w:rFonts w:asciiTheme="minorHAnsi" w:hAnsiTheme="minorHAnsi"/>
      <w:sz w:val="22"/>
      <w:szCs w:val="22"/>
    </w:rPr>
  </w:style>
  <w:style w:type="paragraph" w:styleId="9">
    <w:name w:val="toc 3"/>
    <w:basedOn w:val="1"/>
    <w:next w:val="1"/>
    <w:unhideWhenUsed/>
    <w:qFormat/>
    <w:uiPriority w:val="39"/>
    <w:pPr>
      <w:jc w:val="left"/>
    </w:pPr>
    <w:rPr>
      <w:rFonts w:asciiTheme="minorHAnsi" w:hAnsiTheme="minorHAnsi"/>
      <w:smallCaps/>
      <w:sz w:val="22"/>
      <w:szCs w:val="22"/>
    </w:rPr>
  </w:style>
  <w:style w:type="paragraph" w:styleId="10">
    <w:name w:val="toc 8"/>
    <w:basedOn w:val="1"/>
    <w:next w:val="1"/>
    <w:unhideWhenUsed/>
    <w:qFormat/>
    <w:uiPriority w:val="39"/>
    <w:pPr>
      <w:jc w:val="left"/>
    </w:pPr>
    <w:rPr>
      <w:rFonts w:asciiTheme="minorHAnsi" w:hAnsiTheme="minorHAnsi"/>
      <w:sz w:val="22"/>
      <w:szCs w:val="22"/>
    </w:rPr>
  </w:style>
  <w:style w:type="paragraph" w:styleId="11">
    <w:name w:val="Balloon Text"/>
    <w:basedOn w:val="1"/>
    <w:link w:val="29"/>
    <w:unhideWhenUsed/>
    <w:qFormat/>
    <w:uiPriority w:val="99"/>
    <w:rPr>
      <w:sz w:val="18"/>
      <w:szCs w:val="18"/>
    </w:rPr>
  </w:style>
  <w:style w:type="paragraph" w:styleId="12">
    <w:name w:val="footer"/>
    <w:basedOn w:val="1"/>
    <w:link w:val="24"/>
    <w:unhideWhenUsed/>
    <w:qFormat/>
    <w:uiPriority w:val="99"/>
    <w:pPr>
      <w:tabs>
        <w:tab w:val="center" w:pos="4153"/>
        <w:tab w:val="right" w:pos="8306"/>
      </w:tabs>
      <w:snapToGrid w:val="0"/>
      <w:jc w:val="left"/>
    </w:pPr>
    <w:rPr>
      <w:sz w:val="18"/>
      <w:szCs w:val="18"/>
    </w:rPr>
  </w:style>
  <w:style w:type="paragraph" w:styleId="13">
    <w:name w:val="header"/>
    <w:basedOn w:val="1"/>
    <w:link w:val="23"/>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unhideWhenUsed/>
    <w:qFormat/>
    <w:uiPriority w:val="39"/>
    <w:pPr>
      <w:spacing w:before="360" w:after="360"/>
      <w:jc w:val="left"/>
    </w:pPr>
    <w:rPr>
      <w:rFonts w:asciiTheme="minorHAnsi" w:hAnsiTheme="minorHAnsi"/>
      <w:b/>
      <w:bCs/>
      <w:caps/>
      <w:sz w:val="22"/>
      <w:szCs w:val="22"/>
      <w:u w:val="single"/>
    </w:rPr>
  </w:style>
  <w:style w:type="paragraph" w:styleId="15">
    <w:name w:val="toc 4"/>
    <w:basedOn w:val="1"/>
    <w:next w:val="1"/>
    <w:unhideWhenUsed/>
    <w:qFormat/>
    <w:uiPriority w:val="39"/>
    <w:pPr>
      <w:jc w:val="left"/>
    </w:pPr>
    <w:rPr>
      <w:rFonts w:asciiTheme="minorHAnsi" w:hAnsiTheme="minorHAnsi"/>
      <w:sz w:val="22"/>
      <w:szCs w:val="22"/>
    </w:rPr>
  </w:style>
  <w:style w:type="paragraph" w:styleId="16">
    <w:name w:val="toc 6"/>
    <w:basedOn w:val="1"/>
    <w:next w:val="1"/>
    <w:unhideWhenUsed/>
    <w:qFormat/>
    <w:uiPriority w:val="39"/>
    <w:pPr>
      <w:jc w:val="left"/>
    </w:pPr>
    <w:rPr>
      <w:rFonts w:asciiTheme="minorHAnsi" w:hAnsiTheme="minorHAnsi"/>
      <w:sz w:val="22"/>
      <w:szCs w:val="22"/>
    </w:rPr>
  </w:style>
  <w:style w:type="paragraph" w:styleId="17">
    <w:name w:val="toc 2"/>
    <w:basedOn w:val="1"/>
    <w:next w:val="1"/>
    <w:unhideWhenUsed/>
    <w:qFormat/>
    <w:uiPriority w:val="39"/>
    <w:pPr>
      <w:jc w:val="left"/>
    </w:pPr>
    <w:rPr>
      <w:rFonts w:asciiTheme="minorHAnsi" w:hAnsiTheme="minorHAnsi"/>
      <w:b/>
      <w:bCs/>
      <w:smallCaps/>
      <w:sz w:val="22"/>
      <w:szCs w:val="22"/>
    </w:rPr>
  </w:style>
  <w:style w:type="paragraph" w:styleId="18">
    <w:name w:val="toc 9"/>
    <w:basedOn w:val="1"/>
    <w:next w:val="1"/>
    <w:unhideWhenUsed/>
    <w:qFormat/>
    <w:uiPriority w:val="39"/>
    <w:pPr>
      <w:jc w:val="left"/>
    </w:pPr>
    <w:rPr>
      <w:rFonts w:asciiTheme="minorHAnsi" w:hAnsiTheme="minorHAnsi"/>
      <w:sz w:val="22"/>
      <w:szCs w:val="22"/>
    </w:rPr>
  </w:style>
  <w:style w:type="table" w:styleId="20">
    <w:name w:val="Table Grid"/>
    <w:basedOn w:val="19"/>
    <w:qFormat/>
    <w:uiPriority w:val="0"/>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22">
    <w:name w:val="Hyperlink"/>
    <w:basedOn w:val="21"/>
    <w:unhideWhenUsed/>
    <w:qFormat/>
    <w:uiPriority w:val="99"/>
    <w:rPr>
      <w:color w:val="0000FF" w:themeColor="hyperlink"/>
      <w:u w:val="single"/>
    </w:rPr>
  </w:style>
  <w:style w:type="character" w:customStyle="1" w:styleId="23">
    <w:name w:val="页眉 Char"/>
    <w:basedOn w:val="21"/>
    <w:link w:val="13"/>
    <w:qFormat/>
    <w:uiPriority w:val="99"/>
    <w:rPr>
      <w:sz w:val="18"/>
      <w:szCs w:val="18"/>
    </w:rPr>
  </w:style>
  <w:style w:type="character" w:customStyle="1" w:styleId="24">
    <w:name w:val="页脚 Char"/>
    <w:basedOn w:val="21"/>
    <w:link w:val="12"/>
    <w:qFormat/>
    <w:uiPriority w:val="99"/>
    <w:rPr>
      <w:sz w:val="18"/>
      <w:szCs w:val="18"/>
    </w:rPr>
  </w:style>
  <w:style w:type="paragraph" w:customStyle="1" w:styleId="25">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6">
    <w:name w:val="正文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27">
    <w:name w:val="标题 2 Char"/>
    <w:basedOn w:val="21"/>
    <w:link w:val="3"/>
    <w:qFormat/>
    <w:uiPriority w:val="9"/>
    <w:rPr>
      <w:rFonts w:asciiTheme="majorHAnsi" w:hAnsiTheme="majorHAnsi" w:eastAsiaTheme="majorEastAsia" w:cstheme="majorBidi"/>
      <w:b/>
      <w:bCs/>
      <w:sz w:val="32"/>
      <w:szCs w:val="32"/>
    </w:rPr>
  </w:style>
  <w:style w:type="character" w:customStyle="1" w:styleId="28">
    <w:name w:val="标题 3 Char"/>
    <w:basedOn w:val="21"/>
    <w:link w:val="4"/>
    <w:qFormat/>
    <w:uiPriority w:val="0"/>
    <w:rPr>
      <w:rFonts w:ascii="Times New Roman" w:hAnsi="Times New Roman" w:eastAsia="宋体" w:cs="Times New Roman"/>
      <w:b/>
      <w:bCs/>
      <w:sz w:val="32"/>
      <w:szCs w:val="32"/>
    </w:rPr>
  </w:style>
  <w:style w:type="character" w:customStyle="1" w:styleId="29">
    <w:name w:val="批注框文本 Char"/>
    <w:basedOn w:val="21"/>
    <w:link w:val="11"/>
    <w:semiHidden/>
    <w:qFormat/>
    <w:uiPriority w:val="99"/>
    <w:rPr>
      <w:rFonts w:ascii="Times New Roman" w:hAnsi="Times New Roman" w:eastAsia="宋体" w:cs="Times New Roman"/>
      <w:sz w:val="18"/>
      <w:szCs w:val="18"/>
    </w:rPr>
  </w:style>
  <w:style w:type="paragraph" w:customStyle="1" w:styleId="30">
    <w:name w:val="列表段落1"/>
    <w:basedOn w:val="1"/>
    <w:qFormat/>
    <w:uiPriority w:val="34"/>
    <w:pPr>
      <w:ind w:firstLine="420" w:firstLineChars="200"/>
    </w:pPr>
  </w:style>
  <w:style w:type="character" w:customStyle="1" w:styleId="31">
    <w:name w:val="标题 1 Char"/>
    <w:basedOn w:val="21"/>
    <w:link w:val="2"/>
    <w:qFormat/>
    <w:uiPriority w:val="9"/>
    <w:rPr>
      <w:rFonts w:ascii="Times New Roman" w:hAnsi="Times New Roman" w:eastAsia="宋体" w:cs="Times New Roman"/>
      <w:b/>
      <w:bCs/>
      <w:kern w:val="44"/>
      <w:sz w:val="44"/>
      <w:szCs w:val="44"/>
    </w:rPr>
  </w:style>
  <w:style w:type="paragraph" w:customStyle="1" w:styleId="32">
    <w:name w:val="TOC 标题1"/>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66091" w:themeColor="accent1" w:themeShade="BF"/>
      <w:kern w:val="0"/>
      <w:sz w:val="28"/>
      <w:szCs w:val="28"/>
    </w:rPr>
  </w:style>
  <w:style w:type="paragraph" w:customStyle="1" w:styleId="33">
    <w:name w:val="reader-word-layer"/>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34">
    <w:name w:val="正文二"/>
    <w:basedOn w:val="1"/>
    <w:qFormat/>
    <w:uiPriority w:val="0"/>
    <w:pPr>
      <w:spacing w:line="288" w:lineRule="auto"/>
      <w:ind w:firstLine="200" w:firstLineChars="200"/>
    </w:pPr>
    <w:rPr>
      <w:rFonts w:asciiTheme="minorHAnsi" w:hAnsiTheme="minorHAnsi" w:eastAsiaTheme="minorEastAsia" w:cstheme="minorBidi"/>
      <w:szCs w:val="22"/>
    </w:rPr>
  </w:style>
  <w:style w:type="table" w:customStyle="1" w:styleId="35">
    <w:name w:val="Table Normal"/>
    <w:unhideWhenUsed/>
    <w:qFormat/>
    <w:uiPriority w:val="2"/>
    <w:pPr>
      <w:widowControl w:val="0"/>
    </w:pPr>
    <w:rPr>
      <w:sz w:val="22"/>
      <w:lang w:eastAsia="en-US"/>
    </w:rPr>
    <w:tblPr>
      <w:tblCellMar>
        <w:top w:w="0" w:type="dxa"/>
        <w:left w:w="0" w:type="dxa"/>
        <w:bottom w:w="0" w:type="dxa"/>
        <w:right w:w="0" w:type="dxa"/>
      </w:tblCellMar>
    </w:tblPr>
  </w:style>
  <w:style w:type="paragraph" w:customStyle="1" w:styleId="36">
    <w:name w:val="Table Paragraph"/>
    <w:basedOn w:val="1"/>
    <w:qFormat/>
    <w:uiPriority w:val="1"/>
    <w:pPr>
      <w:jc w:val="left"/>
    </w:pPr>
    <w:rPr>
      <w:rFonts w:asciiTheme="minorHAnsi" w:hAnsiTheme="minorHAnsi" w:eastAsiaTheme="minorEastAsia" w:cstheme="minorBidi"/>
      <w:kern w:val="0"/>
      <w:sz w:val="22"/>
      <w:szCs w:val="22"/>
      <w:lang w:eastAsia="en-US"/>
    </w:rPr>
  </w:style>
  <w:style w:type="character" w:customStyle="1" w:styleId="37">
    <w:name w:val="标题 4 Char"/>
    <w:basedOn w:val="21"/>
    <w:link w:val="5"/>
    <w:qFormat/>
    <w:uiPriority w:val="9"/>
    <w:rPr>
      <w:rFonts w:asciiTheme="majorHAnsi" w:hAnsiTheme="majorHAnsi" w:eastAsiaTheme="majorEastAsia" w:cstheme="majorBidi"/>
      <w:b/>
      <w:bCs/>
      <w:sz w:val="28"/>
      <w:szCs w:val="28"/>
    </w:rPr>
  </w:style>
  <w:style w:type="paragraph" w:customStyle="1" w:styleId="38">
    <w:name w:val="_Style 2"/>
    <w:basedOn w:val="1"/>
    <w:qFormat/>
    <w:uiPriority w:val="0"/>
    <w:pPr>
      <w:spacing w:line="300" w:lineRule="auto"/>
      <w:ind w:firstLine="420" w:firstLineChars="200"/>
    </w:pPr>
    <w:rPr>
      <w:rFonts w:ascii="Verdana" w:hAnsi="Verdana"/>
      <w:szCs w:val="21"/>
    </w:rPr>
  </w:style>
  <w:style w:type="paragraph" w:styleId="39">
    <w:name w:val="List Paragraph"/>
    <w:basedOn w:val="1"/>
    <w:qFormat/>
    <w:uiPriority w:val="99"/>
    <w:pPr>
      <w:ind w:firstLine="420" w:firstLineChars="200"/>
    </w:pPr>
  </w:style>
  <w:style w:type="paragraph" w:customStyle="1" w:styleId="40">
    <w:name w:val="TOC Heading"/>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366091"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5" Type="http://schemas.openxmlformats.org/officeDocument/2006/relationships/fontTable" Target="fontTable.xml"/><Relationship Id="rId34" Type="http://schemas.openxmlformats.org/officeDocument/2006/relationships/customXml" Target="../customXml/item2.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27CE1A1-5E74-4B0F-B7AC-F3869A344B5B}">
  <ds:schemaRefs/>
</ds:datastoreItem>
</file>

<file path=docProps/app.xml><?xml version="1.0" encoding="utf-8"?>
<Properties xmlns="http://schemas.openxmlformats.org/officeDocument/2006/extended-properties" xmlns:vt="http://schemas.openxmlformats.org/officeDocument/2006/docPropsVTypes">
  <Template>Normal.dotm</Template>
  <Company>rainier</Company>
  <Pages>16</Pages>
  <Words>628</Words>
  <Characters>3583</Characters>
  <Lines>29</Lines>
  <Paragraphs>8</Paragraphs>
  <TotalTime>757</TotalTime>
  <ScaleCrop>false</ScaleCrop>
  <LinksUpToDate>false</LinksUpToDate>
  <CharactersWithSpaces>4203</CharactersWithSpaces>
  <Application>WPS Office_11.1.0.9828_F1E327BC-269C-435d-A152-05C5408002CA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2016-12-07T05:50:00Z</dcterms:created>
  <dc:creator>sanwei1lixue</dc:creator>
  <cp:lastModifiedBy>Administrator</cp:lastModifiedBy>
  <dcterms:modified xsi:type="dcterms:W3CDTF">2021-10-13T03:09:41Z</dcterms:modified>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2052-11.1.0.9828</vt:lpwstr>
  </property>
</Properties>
</file>