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7C64A">
      <w:pPr>
        <w:pStyle w:val="2"/>
        <w:ind w:left="1260"/>
        <w:rPr>
          <w:rFonts w:hint="eastAsia"/>
        </w:rPr>
      </w:pPr>
    </w:p>
    <w:p w14:paraId="7F5224E8">
      <w:pPr>
        <w:jc w:val="center"/>
        <w:rPr>
          <w:rFonts w:hint="eastAsia"/>
          <w:sz w:val="36"/>
          <w:szCs w:val="36"/>
        </w:rPr>
      </w:pPr>
    </w:p>
    <w:p w14:paraId="5E68D9C0">
      <w:pPr>
        <w:jc w:val="center"/>
        <w:rPr>
          <w:sz w:val="36"/>
          <w:szCs w:val="36"/>
        </w:rPr>
      </w:pPr>
    </w:p>
    <w:p w14:paraId="758032FA">
      <w:pPr>
        <w:jc w:val="center"/>
        <w:rPr>
          <w:rFonts w:hint="eastAsia" w:eastAsia="方正小标宋简体"/>
          <w:sz w:val="84"/>
          <w:szCs w:val="84"/>
        </w:rPr>
      </w:pPr>
      <w:r>
        <w:rPr>
          <w:rFonts w:hint="eastAsia" w:eastAsia="方正小标宋简体"/>
          <w:sz w:val="84"/>
          <w:szCs w:val="84"/>
        </w:rPr>
        <w:t>比</w:t>
      </w:r>
      <w:r>
        <w:rPr>
          <w:rFonts w:eastAsia="方正小标宋简体"/>
          <w:sz w:val="84"/>
          <w:szCs w:val="84"/>
        </w:rPr>
        <w:t>价文件</w:t>
      </w:r>
    </w:p>
    <w:p w14:paraId="235F4C5C">
      <w:pPr>
        <w:jc w:val="center"/>
        <w:rPr>
          <w:rFonts w:hint="eastAsia" w:eastAsia="华文中宋"/>
          <w:sz w:val="36"/>
          <w:szCs w:val="36"/>
        </w:rPr>
      </w:pPr>
    </w:p>
    <w:p w14:paraId="1D9AE1C9">
      <w:pPr>
        <w:jc w:val="center"/>
        <w:rPr>
          <w:rFonts w:hint="eastAsia" w:eastAsia="华文中宋"/>
          <w:sz w:val="36"/>
          <w:szCs w:val="36"/>
        </w:rPr>
      </w:pPr>
    </w:p>
    <w:p w14:paraId="679473EF">
      <w:pPr>
        <w:jc w:val="center"/>
        <w:rPr>
          <w:rFonts w:hint="eastAsia" w:eastAsia="华文中宋"/>
          <w:sz w:val="36"/>
          <w:szCs w:val="36"/>
        </w:rPr>
      </w:pPr>
    </w:p>
    <w:p w14:paraId="13DFE0AE">
      <w:pPr>
        <w:ind w:left="762" w:leftChars="363" w:firstLine="960" w:firstLineChars="300"/>
        <w:rPr>
          <w:rFonts w:ascii="微软雅黑" w:hAnsi="微软雅黑" w:eastAsia="微软雅黑"/>
          <w:bCs/>
          <w:color w:val="000000"/>
          <w:sz w:val="32"/>
          <w:szCs w:val="32"/>
        </w:rPr>
      </w:pPr>
    </w:p>
    <w:tbl>
      <w:tblPr>
        <w:tblStyle w:val="9"/>
        <w:tblW w:w="0" w:type="auto"/>
        <w:jc w:val="center"/>
        <w:tblLayout w:type="fixed"/>
        <w:tblCellMar>
          <w:top w:w="0" w:type="dxa"/>
          <w:left w:w="108" w:type="dxa"/>
          <w:bottom w:w="0" w:type="dxa"/>
          <w:right w:w="108" w:type="dxa"/>
        </w:tblCellMar>
      </w:tblPr>
      <w:tblGrid>
        <w:gridCol w:w="1883"/>
        <w:gridCol w:w="5566"/>
      </w:tblGrid>
      <w:tr w14:paraId="24807AFA">
        <w:tblPrEx>
          <w:tblCellMar>
            <w:top w:w="0" w:type="dxa"/>
            <w:left w:w="108" w:type="dxa"/>
            <w:bottom w:w="0" w:type="dxa"/>
            <w:right w:w="108" w:type="dxa"/>
          </w:tblCellMar>
        </w:tblPrEx>
        <w:trPr>
          <w:jc w:val="center"/>
        </w:trPr>
        <w:tc>
          <w:tcPr>
            <w:tcW w:w="1883" w:type="dxa"/>
            <w:noWrap w:val="0"/>
            <w:vAlign w:val="top"/>
          </w:tcPr>
          <w:p w14:paraId="4BBE42F3">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项目名称：</w:t>
            </w:r>
          </w:p>
        </w:tc>
        <w:tc>
          <w:tcPr>
            <w:tcW w:w="5566" w:type="dxa"/>
            <w:noWrap w:val="0"/>
            <w:vAlign w:val="top"/>
          </w:tcPr>
          <w:p w14:paraId="4EB55C53">
            <w:pPr>
              <w:rPr>
                <w:rFonts w:hint="eastAsia" w:ascii="微软雅黑" w:hAnsi="微软雅黑" w:eastAsia="微软雅黑"/>
                <w:bCs/>
                <w:color w:val="000000"/>
                <w:sz w:val="32"/>
                <w:szCs w:val="32"/>
              </w:rPr>
            </w:pPr>
            <w:bookmarkStart w:id="1" w:name="_GoBack"/>
            <w:r>
              <w:rPr>
                <w:rFonts w:hint="eastAsia" w:ascii="微软雅黑" w:hAnsi="微软雅黑" w:eastAsia="微软雅黑"/>
                <w:bCs/>
                <w:color w:val="000000"/>
                <w:sz w:val="32"/>
                <w:szCs w:val="32"/>
              </w:rPr>
              <w:t>硬件及</w:t>
            </w:r>
            <w:r>
              <w:rPr>
                <w:rFonts w:ascii="微软雅黑" w:hAnsi="微软雅黑" w:eastAsia="微软雅黑"/>
                <w:bCs/>
                <w:color w:val="000000"/>
                <w:sz w:val="32"/>
                <w:szCs w:val="32"/>
              </w:rPr>
              <w:t>配套服务采购项目</w:t>
            </w:r>
            <w:bookmarkEnd w:id="1"/>
          </w:p>
        </w:tc>
      </w:tr>
      <w:tr w14:paraId="5CB48D05">
        <w:tblPrEx>
          <w:tblCellMar>
            <w:top w:w="0" w:type="dxa"/>
            <w:left w:w="108" w:type="dxa"/>
            <w:bottom w:w="0" w:type="dxa"/>
            <w:right w:w="108" w:type="dxa"/>
          </w:tblCellMar>
        </w:tblPrEx>
        <w:trPr>
          <w:jc w:val="center"/>
        </w:trPr>
        <w:tc>
          <w:tcPr>
            <w:tcW w:w="1883" w:type="dxa"/>
            <w:noWrap w:val="0"/>
            <w:vAlign w:val="top"/>
          </w:tcPr>
          <w:p w14:paraId="5B27076F">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项目编号：</w:t>
            </w:r>
          </w:p>
        </w:tc>
        <w:tc>
          <w:tcPr>
            <w:tcW w:w="5566" w:type="dxa"/>
            <w:noWrap w:val="0"/>
            <w:vAlign w:val="top"/>
          </w:tcPr>
          <w:p w14:paraId="07987C0E">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202</w:t>
            </w:r>
            <w:r>
              <w:rPr>
                <w:rFonts w:ascii="微软雅黑" w:hAnsi="微软雅黑" w:eastAsia="微软雅黑"/>
                <w:bCs/>
                <w:color w:val="000000"/>
                <w:sz w:val="32"/>
                <w:szCs w:val="32"/>
              </w:rPr>
              <w:t>6</w:t>
            </w:r>
            <w:r>
              <w:rPr>
                <w:rFonts w:hint="eastAsia" w:ascii="微软雅黑" w:hAnsi="微软雅黑" w:eastAsia="微软雅黑"/>
                <w:bCs/>
                <w:color w:val="000000"/>
                <w:sz w:val="32"/>
                <w:szCs w:val="32"/>
              </w:rPr>
              <w:t>-YKGJ</w:t>
            </w:r>
            <w:r>
              <w:rPr>
                <w:rFonts w:ascii="微软雅黑" w:hAnsi="微软雅黑" w:eastAsia="微软雅黑"/>
                <w:bCs/>
                <w:color w:val="000000"/>
                <w:sz w:val="32"/>
                <w:szCs w:val="32"/>
              </w:rPr>
              <w:t>GXJYBZ</w:t>
            </w:r>
            <w:r>
              <w:rPr>
                <w:rFonts w:hint="eastAsia" w:ascii="微软雅黑" w:hAnsi="微软雅黑" w:eastAsia="微软雅黑"/>
                <w:bCs/>
                <w:color w:val="000000"/>
                <w:sz w:val="32"/>
                <w:szCs w:val="32"/>
              </w:rPr>
              <w:t>-F</w:t>
            </w:r>
            <w:r>
              <w:rPr>
                <w:rFonts w:ascii="微软雅黑" w:hAnsi="微软雅黑" w:eastAsia="微软雅黑"/>
                <w:bCs/>
                <w:color w:val="000000"/>
                <w:sz w:val="32"/>
                <w:szCs w:val="32"/>
              </w:rPr>
              <w:t>9006</w:t>
            </w:r>
          </w:p>
        </w:tc>
      </w:tr>
    </w:tbl>
    <w:p w14:paraId="64D4FE97">
      <w:pPr>
        <w:jc w:val="center"/>
        <w:rPr>
          <w:rFonts w:hint="eastAsia" w:eastAsia="华文中宋"/>
          <w:sz w:val="36"/>
          <w:szCs w:val="36"/>
        </w:rPr>
      </w:pPr>
    </w:p>
    <w:p w14:paraId="4297F3C9">
      <w:pPr>
        <w:jc w:val="center"/>
        <w:rPr>
          <w:rFonts w:hint="eastAsia" w:eastAsia="华文中宋"/>
          <w:sz w:val="36"/>
          <w:szCs w:val="36"/>
        </w:rPr>
      </w:pPr>
    </w:p>
    <w:p w14:paraId="2CB168BD">
      <w:pPr>
        <w:jc w:val="center"/>
        <w:rPr>
          <w:rFonts w:hint="eastAsia" w:eastAsia="华文中宋"/>
          <w:sz w:val="36"/>
          <w:szCs w:val="36"/>
        </w:rPr>
      </w:pPr>
    </w:p>
    <w:p w14:paraId="1916C80E">
      <w:pPr>
        <w:jc w:val="center"/>
        <w:rPr>
          <w:rFonts w:hint="eastAsia" w:eastAsia="华文中宋"/>
          <w:sz w:val="36"/>
          <w:szCs w:val="36"/>
        </w:rPr>
      </w:pPr>
    </w:p>
    <w:p w14:paraId="735C51DF">
      <w:pPr>
        <w:jc w:val="center"/>
        <w:rPr>
          <w:rFonts w:hint="eastAsia" w:eastAsia="华文中宋"/>
          <w:sz w:val="36"/>
          <w:szCs w:val="36"/>
        </w:rPr>
      </w:pPr>
    </w:p>
    <w:p w14:paraId="6110445A">
      <w:pPr>
        <w:spacing w:line="560" w:lineRule="exact"/>
        <w:rPr>
          <w:rFonts w:hint="eastAsia" w:eastAsia="黑体"/>
          <w:sz w:val="28"/>
          <w:szCs w:val="28"/>
        </w:rPr>
        <w:sectPr>
          <w:footerReference r:id="rId3" w:type="default"/>
          <w:footerReference r:id="rId4" w:type="even"/>
          <w:pgSz w:w="11906" w:h="16838"/>
          <w:pgMar w:top="2098" w:right="1474" w:bottom="1985" w:left="1588" w:header="851" w:footer="992" w:gutter="0"/>
          <w:pgNumType w:start="1" w:chapSep="emDash"/>
          <w:cols w:space="720" w:num="1"/>
          <w:docGrid w:type="lines" w:linePitch="312" w:charSpace="0"/>
        </w:sectPr>
      </w:pPr>
    </w:p>
    <w:p w14:paraId="71F9FD7B">
      <w:pPr>
        <w:pStyle w:val="2"/>
        <w:ind w:left="1260"/>
        <w:rPr>
          <w:rFonts w:hint="eastAsia"/>
        </w:rPr>
      </w:pPr>
    </w:p>
    <w:p w14:paraId="13978549">
      <w:pPr>
        <w:pStyle w:val="2"/>
        <w:ind w:left="0" w:leftChars="0"/>
        <w:jc w:val="center"/>
        <w:rPr>
          <w:rFonts w:ascii="方正小标宋简体" w:hAnsi="宋体" w:eastAsia="方正小标宋简体" w:cs="宋体"/>
          <w:color w:val="000000"/>
          <w:sz w:val="44"/>
          <w:szCs w:val="44"/>
        </w:rPr>
      </w:pPr>
      <w:r>
        <w:rPr>
          <w:rFonts w:hint="eastAsia" w:ascii="方正小标宋简体" w:hAnsi="宋体" w:eastAsia="方正小标宋简体" w:cs="宋体"/>
          <w:color w:val="000000"/>
          <w:sz w:val="44"/>
          <w:szCs w:val="44"/>
        </w:rPr>
        <w:t>采购内容明细</w:t>
      </w:r>
    </w:p>
    <w:tbl>
      <w:tblPr>
        <w:tblStyle w:val="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5924"/>
        <w:gridCol w:w="880"/>
        <w:gridCol w:w="1162"/>
      </w:tblGrid>
      <w:tr w14:paraId="35A2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1175" w:type="dxa"/>
            <w:tcBorders>
              <w:top w:val="single" w:color="auto" w:sz="4" w:space="0"/>
              <w:left w:val="single" w:color="auto" w:sz="4" w:space="0"/>
              <w:bottom w:val="single" w:color="auto" w:sz="4" w:space="0"/>
              <w:right w:val="single" w:color="auto" w:sz="4" w:space="0"/>
            </w:tcBorders>
            <w:noWrap w:val="0"/>
            <w:vAlign w:val="center"/>
          </w:tcPr>
          <w:p w14:paraId="1F0408D7">
            <w:pPr>
              <w:jc w:val="center"/>
              <w:rPr>
                <w:rFonts w:ascii="宋体" w:hAnsi="宋体" w:cs="宋体"/>
                <w:b/>
                <w:snapToGrid w:val="0"/>
                <w:color w:val="000000"/>
                <w:sz w:val="28"/>
                <w:szCs w:val="28"/>
              </w:rPr>
            </w:pPr>
            <w:r>
              <w:rPr>
                <w:rFonts w:hint="eastAsia" w:ascii="宋体" w:hAnsi="宋体" w:cs="宋体"/>
                <w:b/>
                <w:snapToGrid w:val="0"/>
                <w:color w:val="000000"/>
                <w:sz w:val="28"/>
                <w:szCs w:val="28"/>
              </w:rPr>
              <w:t>序号</w:t>
            </w:r>
          </w:p>
        </w:tc>
        <w:tc>
          <w:tcPr>
            <w:tcW w:w="5924" w:type="dxa"/>
            <w:tcBorders>
              <w:top w:val="single" w:color="auto" w:sz="4" w:space="0"/>
              <w:left w:val="single" w:color="auto" w:sz="4" w:space="0"/>
              <w:right w:val="single" w:color="auto" w:sz="4" w:space="0"/>
            </w:tcBorders>
            <w:noWrap w:val="0"/>
            <w:vAlign w:val="center"/>
          </w:tcPr>
          <w:p w14:paraId="641CD151">
            <w:pPr>
              <w:jc w:val="center"/>
              <w:rPr>
                <w:rFonts w:ascii="宋体" w:hAnsi="宋体" w:cs="宋体"/>
                <w:b/>
                <w:snapToGrid w:val="0"/>
                <w:color w:val="000000"/>
                <w:sz w:val="28"/>
                <w:szCs w:val="28"/>
              </w:rPr>
            </w:pPr>
            <w:r>
              <w:rPr>
                <w:rFonts w:hint="eastAsia" w:ascii="宋体" w:hAnsi="宋体" w:cs="宋体"/>
                <w:b/>
                <w:snapToGrid w:val="0"/>
                <w:color w:val="000000"/>
                <w:sz w:val="28"/>
                <w:szCs w:val="28"/>
              </w:rPr>
              <w:t>物资名称</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35511830">
            <w:pPr>
              <w:jc w:val="center"/>
              <w:rPr>
                <w:rFonts w:ascii="宋体" w:hAnsi="宋体" w:cs="宋体"/>
                <w:b/>
                <w:snapToGrid w:val="0"/>
                <w:color w:val="000000"/>
                <w:sz w:val="28"/>
                <w:szCs w:val="28"/>
              </w:rPr>
            </w:pPr>
            <w:r>
              <w:rPr>
                <w:rFonts w:hint="eastAsia" w:ascii="宋体" w:hAnsi="宋体" w:cs="宋体"/>
                <w:b/>
                <w:snapToGrid w:val="0"/>
                <w:color w:val="000000"/>
                <w:sz w:val="28"/>
                <w:szCs w:val="28"/>
              </w:rPr>
              <w:t>单位</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6FC7BADE">
            <w:pPr>
              <w:jc w:val="center"/>
              <w:rPr>
                <w:rFonts w:ascii="宋体" w:hAnsi="宋体" w:cs="宋体"/>
                <w:b/>
                <w:snapToGrid w:val="0"/>
                <w:color w:val="000000"/>
                <w:sz w:val="28"/>
                <w:szCs w:val="28"/>
              </w:rPr>
            </w:pPr>
            <w:r>
              <w:rPr>
                <w:rFonts w:hint="eastAsia" w:ascii="宋体" w:hAnsi="宋体" w:cs="宋体"/>
                <w:b/>
                <w:snapToGrid w:val="0"/>
                <w:color w:val="000000"/>
                <w:sz w:val="28"/>
                <w:szCs w:val="28"/>
              </w:rPr>
              <w:t>数量</w:t>
            </w:r>
          </w:p>
        </w:tc>
      </w:tr>
      <w:tr w14:paraId="4A1B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jc w:val="center"/>
        </w:trPr>
        <w:tc>
          <w:tcPr>
            <w:tcW w:w="1175" w:type="dxa"/>
            <w:tcBorders>
              <w:top w:val="single" w:color="auto" w:sz="4" w:space="0"/>
              <w:left w:val="single" w:color="auto" w:sz="4" w:space="0"/>
              <w:bottom w:val="single" w:color="auto" w:sz="4" w:space="0"/>
              <w:right w:val="single" w:color="auto" w:sz="4" w:space="0"/>
            </w:tcBorders>
            <w:noWrap w:val="0"/>
            <w:vAlign w:val="center"/>
          </w:tcPr>
          <w:p w14:paraId="5D5D5D01">
            <w:pPr>
              <w:snapToGrid w:val="0"/>
              <w:jc w:val="center"/>
              <w:rPr>
                <w:rFonts w:ascii="宋体" w:hAnsi="宋体" w:cs="宋体"/>
                <w:bCs/>
                <w:color w:val="000000"/>
                <w:sz w:val="28"/>
                <w:szCs w:val="28"/>
              </w:rPr>
            </w:pPr>
            <w:r>
              <w:rPr>
                <w:rFonts w:hint="eastAsia" w:ascii="宋体" w:hAnsi="宋体" w:cs="宋体"/>
                <w:color w:val="000000"/>
                <w:kern w:val="0"/>
                <w:sz w:val="28"/>
                <w:szCs w:val="28"/>
              </w:rPr>
              <w:t>1</w:t>
            </w:r>
          </w:p>
        </w:tc>
        <w:tc>
          <w:tcPr>
            <w:tcW w:w="5924" w:type="dxa"/>
            <w:tcBorders>
              <w:left w:val="single" w:color="auto" w:sz="4" w:space="0"/>
              <w:right w:val="single" w:color="auto" w:sz="4" w:space="0"/>
            </w:tcBorders>
            <w:noWrap w:val="0"/>
            <w:vAlign w:val="center"/>
          </w:tcPr>
          <w:p w14:paraId="44D42DE5">
            <w:pPr>
              <w:autoSpaceDE w:val="0"/>
              <w:autoSpaceDN w:val="0"/>
              <w:adjustRightInd w:val="0"/>
              <w:jc w:val="center"/>
              <w:rPr>
                <w:rFonts w:ascii="宋体" w:hAnsi="宋体" w:cs="宋体"/>
                <w:color w:val="000000"/>
                <w:sz w:val="28"/>
                <w:szCs w:val="28"/>
              </w:rPr>
            </w:pPr>
            <w:r>
              <w:rPr>
                <w:rFonts w:hint="eastAsia" w:ascii="宋体" w:hAnsi="宋体" w:cs="宋体"/>
                <w:color w:val="000000"/>
                <w:sz w:val="28"/>
                <w:szCs w:val="28"/>
              </w:rPr>
              <w:t>算力服务器租赁</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31BA9DAE">
            <w:pPr>
              <w:autoSpaceDE w:val="0"/>
              <w:autoSpaceDN w:val="0"/>
              <w:adjustRightInd w:val="0"/>
              <w:jc w:val="center"/>
              <w:rPr>
                <w:rFonts w:ascii="宋体" w:hAnsi="宋体" w:cs="宋体"/>
                <w:bCs/>
                <w:color w:val="000000"/>
                <w:sz w:val="28"/>
                <w:szCs w:val="28"/>
              </w:rPr>
            </w:pPr>
            <w:r>
              <w:rPr>
                <w:rFonts w:hint="eastAsia" w:ascii="宋体" w:hAnsi="宋体" w:cs="宋体"/>
                <w:color w:val="000000"/>
                <w:sz w:val="28"/>
                <w:szCs w:val="28"/>
              </w:rPr>
              <w:t>套</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584BD7E0">
            <w:pPr>
              <w:autoSpaceDE w:val="0"/>
              <w:autoSpaceDN w:val="0"/>
              <w:adjustRightInd w:val="0"/>
              <w:jc w:val="center"/>
              <w:rPr>
                <w:rFonts w:ascii="宋体" w:hAnsi="宋体" w:cs="宋体"/>
                <w:bCs/>
                <w:color w:val="000000"/>
                <w:sz w:val="28"/>
                <w:szCs w:val="28"/>
              </w:rPr>
            </w:pPr>
            <w:r>
              <w:rPr>
                <w:rFonts w:hint="eastAsia" w:ascii="宋体" w:hAnsi="宋体" w:cs="宋体"/>
                <w:color w:val="000000"/>
                <w:sz w:val="28"/>
                <w:szCs w:val="28"/>
              </w:rPr>
              <w:t>18</w:t>
            </w:r>
          </w:p>
        </w:tc>
      </w:tr>
      <w:tr w14:paraId="0830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1175" w:type="dxa"/>
            <w:tcBorders>
              <w:top w:val="single" w:color="auto" w:sz="4" w:space="0"/>
              <w:left w:val="single" w:color="auto" w:sz="4" w:space="0"/>
              <w:bottom w:val="single" w:color="auto" w:sz="4" w:space="0"/>
              <w:right w:val="single" w:color="auto" w:sz="4" w:space="0"/>
            </w:tcBorders>
            <w:noWrap w:val="0"/>
            <w:vAlign w:val="center"/>
          </w:tcPr>
          <w:p w14:paraId="7D78CD3A">
            <w:pPr>
              <w:snapToGrid w:val="0"/>
              <w:jc w:val="center"/>
              <w:rPr>
                <w:rFonts w:ascii="宋体" w:hAnsi="宋体" w:cs="宋体"/>
                <w:bCs/>
                <w:color w:val="000000"/>
                <w:sz w:val="28"/>
                <w:szCs w:val="28"/>
              </w:rPr>
            </w:pPr>
            <w:r>
              <w:rPr>
                <w:rFonts w:hint="eastAsia" w:ascii="宋体" w:hAnsi="宋体" w:cs="宋体"/>
                <w:color w:val="000000"/>
                <w:kern w:val="0"/>
                <w:sz w:val="28"/>
                <w:szCs w:val="28"/>
              </w:rPr>
              <w:t>2</w:t>
            </w:r>
          </w:p>
        </w:tc>
        <w:tc>
          <w:tcPr>
            <w:tcW w:w="5924" w:type="dxa"/>
            <w:tcBorders>
              <w:left w:val="single" w:color="auto" w:sz="4" w:space="0"/>
              <w:right w:val="single" w:color="auto" w:sz="4" w:space="0"/>
            </w:tcBorders>
            <w:noWrap w:val="0"/>
            <w:vAlign w:val="center"/>
          </w:tcPr>
          <w:p w14:paraId="5805F18C">
            <w:pPr>
              <w:autoSpaceDE w:val="0"/>
              <w:autoSpaceDN w:val="0"/>
              <w:adjustRightInd w:val="0"/>
              <w:jc w:val="center"/>
              <w:rPr>
                <w:rFonts w:ascii="宋体" w:hAnsi="宋体" w:cs="宋体"/>
                <w:color w:val="000000"/>
                <w:sz w:val="28"/>
                <w:szCs w:val="28"/>
              </w:rPr>
            </w:pPr>
            <w:r>
              <w:rPr>
                <w:rFonts w:hint="eastAsia" w:ascii="宋体" w:hAnsi="宋体" w:cs="宋体"/>
                <w:color w:val="000000"/>
                <w:sz w:val="28"/>
                <w:szCs w:val="28"/>
              </w:rPr>
              <w:t>服务器设备调试、专线铺设、技术保障等服务</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59AA0212">
            <w:pPr>
              <w:autoSpaceDE w:val="0"/>
              <w:autoSpaceDN w:val="0"/>
              <w:adjustRightInd w:val="0"/>
              <w:jc w:val="center"/>
              <w:rPr>
                <w:rFonts w:ascii="宋体" w:hAnsi="宋体" w:cs="宋体"/>
                <w:bCs/>
                <w:color w:val="000000"/>
                <w:sz w:val="28"/>
                <w:szCs w:val="28"/>
              </w:rPr>
            </w:pPr>
            <w:r>
              <w:rPr>
                <w:rFonts w:hint="eastAsia" w:ascii="宋体" w:hAnsi="宋体" w:cs="宋体"/>
                <w:color w:val="000000"/>
                <w:sz w:val="28"/>
                <w:szCs w:val="28"/>
              </w:rPr>
              <w:t>套</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27F720E6">
            <w:pPr>
              <w:autoSpaceDE w:val="0"/>
              <w:autoSpaceDN w:val="0"/>
              <w:adjustRightInd w:val="0"/>
              <w:jc w:val="center"/>
              <w:rPr>
                <w:rFonts w:ascii="宋体" w:hAnsi="宋体" w:cs="宋体"/>
                <w:bCs/>
                <w:color w:val="000000"/>
                <w:sz w:val="28"/>
                <w:szCs w:val="28"/>
              </w:rPr>
            </w:pPr>
            <w:r>
              <w:rPr>
                <w:rFonts w:hint="eastAsia" w:ascii="宋体" w:hAnsi="宋体" w:cs="宋体"/>
                <w:color w:val="000000"/>
                <w:sz w:val="28"/>
                <w:szCs w:val="28"/>
              </w:rPr>
              <w:t>1</w:t>
            </w:r>
          </w:p>
        </w:tc>
      </w:tr>
    </w:tbl>
    <w:p w14:paraId="5DA2EB1C">
      <w:pPr>
        <w:rPr>
          <w:rFonts w:hint="eastAsia"/>
        </w:rPr>
      </w:pPr>
    </w:p>
    <w:tbl>
      <w:tblPr>
        <w:tblStyle w:val="9"/>
        <w:tblW w:w="9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905"/>
        <w:gridCol w:w="1538"/>
        <w:gridCol w:w="7371"/>
      </w:tblGrid>
      <w:tr w14:paraId="4977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2" w:hRule="atLeast"/>
          <w:jc w:val="center"/>
        </w:trPr>
        <w:tc>
          <w:tcPr>
            <w:tcW w:w="905" w:type="dxa"/>
            <w:shd w:val="clear" w:color="auto" w:fill="FFFFFF"/>
            <w:noWrap w:val="0"/>
            <w:vAlign w:val="center"/>
          </w:tcPr>
          <w:p w14:paraId="3AE969FF">
            <w:pPr>
              <w:spacing w:line="360" w:lineRule="auto"/>
              <w:jc w:val="center"/>
              <w:rPr>
                <w:rFonts w:ascii="宋体" w:hAnsi="宋体" w:cs="宋体"/>
                <w:b/>
                <w:sz w:val="28"/>
                <w:szCs w:val="28"/>
              </w:rPr>
            </w:pPr>
            <w:r>
              <w:rPr>
                <w:rFonts w:hint="eastAsia" w:ascii="宋体" w:hAnsi="宋体" w:cs="宋体"/>
                <w:b/>
                <w:sz w:val="28"/>
                <w:szCs w:val="28"/>
              </w:rPr>
              <w:t>序号</w:t>
            </w:r>
          </w:p>
        </w:tc>
        <w:tc>
          <w:tcPr>
            <w:tcW w:w="1538" w:type="dxa"/>
            <w:shd w:val="clear" w:color="auto" w:fill="FFFFFF"/>
            <w:noWrap w:val="0"/>
            <w:vAlign w:val="center"/>
          </w:tcPr>
          <w:p w14:paraId="189BB2A8">
            <w:pPr>
              <w:spacing w:line="360" w:lineRule="auto"/>
              <w:jc w:val="center"/>
              <w:rPr>
                <w:rFonts w:ascii="宋体" w:hAnsi="宋体" w:cs="宋体"/>
                <w:caps/>
                <w:kern w:val="0"/>
                <w:sz w:val="28"/>
                <w:szCs w:val="28"/>
              </w:rPr>
            </w:pPr>
            <w:bookmarkStart w:id="0" w:name="_Hlk140497701"/>
            <w:r>
              <w:rPr>
                <w:rFonts w:hint="eastAsia" w:ascii="宋体" w:hAnsi="宋体" w:cs="宋体"/>
                <w:b/>
                <w:sz w:val="28"/>
                <w:szCs w:val="28"/>
              </w:rPr>
              <w:t>指标项</w:t>
            </w:r>
          </w:p>
        </w:tc>
        <w:tc>
          <w:tcPr>
            <w:tcW w:w="7371" w:type="dxa"/>
            <w:shd w:val="clear" w:color="auto" w:fill="FFFFFF"/>
            <w:noWrap w:val="0"/>
            <w:vAlign w:val="center"/>
          </w:tcPr>
          <w:p w14:paraId="29630E04">
            <w:pPr>
              <w:spacing w:line="360" w:lineRule="auto"/>
              <w:jc w:val="center"/>
              <w:rPr>
                <w:rFonts w:ascii="宋体" w:hAnsi="宋体" w:cs="宋体"/>
                <w:sz w:val="28"/>
                <w:szCs w:val="28"/>
              </w:rPr>
            </w:pPr>
            <w:r>
              <w:rPr>
                <w:rFonts w:hint="eastAsia" w:ascii="宋体" w:hAnsi="宋体" w:cs="宋体"/>
                <w:b/>
                <w:sz w:val="28"/>
                <w:szCs w:val="28"/>
              </w:rPr>
              <w:t>详细要求</w:t>
            </w:r>
          </w:p>
        </w:tc>
      </w:tr>
      <w:tr w14:paraId="005B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047" w:hRule="atLeast"/>
          <w:jc w:val="center"/>
        </w:trPr>
        <w:tc>
          <w:tcPr>
            <w:tcW w:w="905" w:type="dxa"/>
            <w:vMerge w:val="restart"/>
            <w:shd w:val="clear" w:color="auto" w:fill="FFFFFF"/>
            <w:noWrap w:val="0"/>
            <w:vAlign w:val="center"/>
          </w:tcPr>
          <w:p w14:paraId="5109DC66">
            <w:pPr>
              <w:spacing w:line="360" w:lineRule="auto"/>
              <w:jc w:val="center"/>
              <w:rPr>
                <w:rFonts w:ascii="宋体" w:hAnsi="宋体" w:cs="宋体"/>
                <w:sz w:val="28"/>
                <w:szCs w:val="28"/>
              </w:rPr>
            </w:pPr>
            <w:r>
              <w:rPr>
                <w:rFonts w:hint="eastAsia" w:ascii="宋体" w:hAnsi="宋体" w:cs="宋体"/>
                <w:sz w:val="28"/>
                <w:szCs w:val="28"/>
              </w:rPr>
              <w:t>1</w:t>
            </w:r>
          </w:p>
        </w:tc>
        <w:tc>
          <w:tcPr>
            <w:tcW w:w="1538" w:type="dxa"/>
            <w:vMerge w:val="restart"/>
            <w:shd w:val="clear" w:color="auto" w:fill="FFFFFF"/>
            <w:noWrap w:val="0"/>
            <w:vAlign w:val="center"/>
          </w:tcPr>
          <w:p w14:paraId="573C4B8D">
            <w:pPr>
              <w:spacing w:line="360" w:lineRule="auto"/>
              <w:jc w:val="center"/>
              <w:rPr>
                <w:rFonts w:ascii="宋体" w:hAnsi="宋体" w:cs="宋体"/>
                <w:sz w:val="28"/>
                <w:szCs w:val="28"/>
              </w:rPr>
            </w:pPr>
          </w:p>
          <w:p w14:paraId="1AD4FC57">
            <w:pPr>
              <w:spacing w:line="360" w:lineRule="auto"/>
              <w:jc w:val="center"/>
              <w:rPr>
                <w:rFonts w:ascii="宋体" w:hAnsi="宋体" w:cs="宋体"/>
                <w:sz w:val="28"/>
                <w:szCs w:val="28"/>
              </w:rPr>
            </w:pPr>
            <w:r>
              <w:rPr>
                <w:rFonts w:hint="eastAsia" w:ascii="宋体" w:hAnsi="宋体" w:cs="宋体"/>
                <w:sz w:val="28"/>
                <w:szCs w:val="28"/>
              </w:rPr>
              <w:t>参数要求（单台算力服务器硬件参数）</w:t>
            </w:r>
          </w:p>
        </w:tc>
        <w:tc>
          <w:tcPr>
            <w:tcW w:w="7371" w:type="dxa"/>
            <w:shd w:val="clear" w:color="auto" w:fill="FFFFFF"/>
            <w:noWrap w:val="0"/>
            <w:vAlign w:val="center"/>
          </w:tcPr>
          <w:p w14:paraId="31BC0B93">
            <w:pPr>
              <w:pStyle w:val="4"/>
              <w:spacing w:line="360" w:lineRule="auto"/>
              <w:rPr>
                <w:rFonts w:ascii="宋体" w:hAnsi="宋体" w:cs="宋体"/>
                <w:sz w:val="28"/>
                <w:szCs w:val="28"/>
              </w:rPr>
            </w:pPr>
            <w:r>
              <w:rPr>
                <w:rFonts w:hint="eastAsia" w:ascii="宋体" w:hAnsi="宋体" w:cs="宋体"/>
                <w:bCs/>
                <w:color w:val="000000"/>
                <w:sz w:val="28"/>
                <w:szCs w:val="28"/>
              </w:rPr>
              <w:t>1.处理器：采用国产ARM鲲鹏架构，配置4颗鲲鹏处理器，单颗≥48核，整机总物理核心≥ 192核，主频≥2.6GHZ；</w:t>
            </w:r>
          </w:p>
        </w:tc>
      </w:tr>
      <w:tr w14:paraId="2385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905" w:type="dxa"/>
            <w:vMerge w:val="continue"/>
            <w:shd w:val="clear" w:color="auto" w:fill="FFFFFF"/>
            <w:noWrap w:val="0"/>
            <w:vAlign w:val="center"/>
          </w:tcPr>
          <w:p w14:paraId="1DC5B411">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14660A64">
            <w:pPr>
              <w:spacing w:line="360" w:lineRule="auto"/>
              <w:jc w:val="center"/>
              <w:rPr>
                <w:rFonts w:ascii="宋体" w:hAnsi="宋体" w:cs="宋体"/>
                <w:sz w:val="28"/>
                <w:szCs w:val="28"/>
              </w:rPr>
            </w:pPr>
          </w:p>
        </w:tc>
        <w:tc>
          <w:tcPr>
            <w:tcW w:w="7371" w:type="dxa"/>
            <w:shd w:val="clear" w:color="auto" w:fill="FFFFFF"/>
            <w:noWrap w:val="0"/>
            <w:vAlign w:val="center"/>
          </w:tcPr>
          <w:p w14:paraId="69597248">
            <w:pPr>
              <w:pStyle w:val="4"/>
              <w:spacing w:line="360" w:lineRule="auto"/>
              <w:rPr>
                <w:rFonts w:ascii="宋体" w:hAnsi="宋体" w:cs="宋体"/>
                <w:sz w:val="28"/>
                <w:szCs w:val="28"/>
              </w:rPr>
            </w:pPr>
            <w:r>
              <w:rPr>
                <w:rFonts w:hint="eastAsia" w:ascii="宋体" w:hAnsi="宋体" w:cs="宋体"/>
                <w:bCs/>
                <w:color w:val="000000"/>
                <w:sz w:val="28"/>
                <w:szCs w:val="28"/>
              </w:rPr>
              <w:t>2.计算卡：配置 ≥8块昇腾910B，单卡显存≥64GB，整机显存≥512GB；整机峰值总算力INT8≥4.4PFLOPS、FP16≥2.2PFLOPS、FP32≥0.6PFLOPS；</w:t>
            </w:r>
          </w:p>
        </w:tc>
      </w:tr>
      <w:tr w14:paraId="0D51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53" w:hRule="atLeast"/>
          <w:jc w:val="center"/>
        </w:trPr>
        <w:tc>
          <w:tcPr>
            <w:tcW w:w="905" w:type="dxa"/>
            <w:vMerge w:val="continue"/>
            <w:shd w:val="clear" w:color="auto" w:fill="FFFFFF"/>
            <w:noWrap w:val="0"/>
            <w:vAlign w:val="center"/>
          </w:tcPr>
          <w:p w14:paraId="507E9F85">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531CED44">
            <w:pPr>
              <w:spacing w:line="360" w:lineRule="auto"/>
              <w:jc w:val="center"/>
              <w:rPr>
                <w:rFonts w:ascii="宋体" w:hAnsi="宋体" w:cs="宋体"/>
                <w:sz w:val="28"/>
                <w:szCs w:val="28"/>
              </w:rPr>
            </w:pPr>
          </w:p>
        </w:tc>
        <w:tc>
          <w:tcPr>
            <w:tcW w:w="7371" w:type="dxa"/>
            <w:shd w:val="clear" w:color="auto" w:fill="FFFFFF"/>
            <w:noWrap w:val="0"/>
            <w:vAlign w:val="center"/>
          </w:tcPr>
          <w:p w14:paraId="7D2BB954">
            <w:pPr>
              <w:spacing w:line="360" w:lineRule="auto"/>
              <w:rPr>
                <w:rFonts w:ascii="宋体" w:hAnsi="宋体" w:cs="宋体"/>
                <w:bCs/>
                <w:color w:val="000000"/>
                <w:sz w:val="28"/>
                <w:szCs w:val="28"/>
              </w:rPr>
            </w:pPr>
            <w:r>
              <w:rPr>
                <w:rFonts w:hint="eastAsia" w:ascii="宋体" w:hAnsi="宋体" w:cs="宋体"/>
                <w:bCs/>
                <w:color w:val="000000"/>
                <w:sz w:val="28"/>
                <w:szCs w:val="28"/>
              </w:rPr>
              <w:t>3.内存：≥1TB，频率≥3200MT/S；</w:t>
            </w:r>
          </w:p>
        </w:tc>
      </w:tr>
      <w:tr w14:paraId="4054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0" w:hRule="atLeast"/>
          <w:jc w:val="center"/>
        </w:trPr>
        <w:tc>
          <w:tcPr>
            <w:tcW w:w="905" w:type="dxa"/>
            <w:vMerge w:val="continue"/>
            <w:shd w:val="clear" w:color="auto" w:fill="FFFFFF"/>
            <w:noWrap w:val="0"/>
            <w:vAlign w:val="center"/>
          </w:tcPr>
          <w:p w14:paraId="0ED9814E">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71AB96F7">
            <w:pPr>
              <w:spacing w:line="360" w:lineRule="auto"/>
              <w:jc w:val="center"/>
              <w:rPr>
                <w:rFonts w:ascii="宋体" w:hAnsi="宋体" w:cs="宋体"/>
                <w:sz w:val="28"/>
                <w:szCs w:val="28"/>
              </w:rPr>
            </w:pPr>
          </w:p>
        </w:tc>
        <w:tc>
          <w:tcPr>
            <w:tcW w:w="7371" w:type="dxa"/>
            <w:shd w:val="clear" w:color="auto" w:fill="FFFFFF"/>
            <w:noWrap w:val="0"/>
            <w:vAlign w:val="center"/>
          </w:tcPr>
          <w:p w14:paraId="52B448BA">
            <w:pPr>
              <w:spacing w:line="360" w:lineRule="auto"/>
              <w:rPr>
                <w:rFonts w:ascii="宋体" w:hAnsi="宋体" w:cs="宋体"/>
                <w:bCs/>
                <w:color w:val="000000"/>
                <w:sz w:val="28"/>
                <w:szCs w:val="28"/>
              </w:rPr>
            </w:pPr>
            <w:r>
              <w:rPr>
                <w:rFonts w:hint="eastAsia" w:ascii="宋体" w:hAnsi="宋体" w:cs="宋体"/>
                <w:bCs/>
                <w:color w:val="000000"/>
                <w:sz w:val="28"/>
                <w:szCs w:val="28"/>
              </w:rPr>
              <w:t>4.硬盘：每台配置≥</w:t>
            </w:r>
            <w:r>
              <w:rPr>
                <w:rFonts w:ascii="宋体" w:hAnsi="宋体" w:cs="宋体"/>
                <w:bCs/>
                <w:color w:val="000000"/>
                <w:sz w:val="28"/>
                <w:szCs w:val="28"/>
              </w:rPr>
              <w:t>1</w:t>
            </w:r>
            <w:r>
              <w:rPr>
                <w:rFonts w:hint="eastAsia" w:ascii="宋体" w:hAnsi="宋体" w:cs="宋体"/>
                <w:bCs/>
                <w:color w:val="000000"/>
                <w:sz w:val="28"/>
                <w:szCs w:val="28"/>
              </w:rPr>
              <w:t>块480GB NVMe SSD固态硬盘, ≥2块3.84TB企业级NVMe SSD作为数据盘，做raid1；</w:t>
            </w:r>
          </w:p>
        </w:tc>
      </w:tr>
      <w:tr w14:paraId="34A8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56" w:hRule="atLeast"/>
          <w:jc w:val="center"/>
        </w:trPr>
        <w:tc>
          <w:tcPr>
            <w:tcW w:w="905" w:type="dxa"/>
            <w:vMerge w:val="continue"/>
            <w:shd w:val="clear" w:color="auto" w:fill="FFFFFF"/>
            <w:noWrap w:val="0"/>
            <w:vAlign w:val="center"/>
          </w:tcPr>
          <w:p w14:paraId="7882F528">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214E097F">
            <w:pPr>
              <w:spacing w:line="360" w:lineRule="auto"/>
              <w:jc w:val="center"/>
              <w:rPr>
                <w:rFonts w:ascii="宋体" w:hAnsi="宋体" w:cs="宋体"/>
                <w:sz w:val="28"/>
                <w:szCs w:val="28"/>
              </w:rPr>
            </w:pPr>
          </w:p>
        </w:tc>
        <w:tc>
          <w:tcPr>
            <w:tcW w:w="7371" w:type="dxa"/>
            <w:shd w:val="clear" w:color="auto" w:fill="FFFFFF"/>
            <w:noWrap w:val="0"/>
            <w:vAlign w:val="top"/>
          </w:tcPr>
          <w:p w14:paraId="08D8CC54">
            <w:pPr>
              <w:spacing w:line="360" w:lineRule="auto"/>
              <w:rPr>
                <w:rFonts w:ascii="宋体" w:hAnsi="宋体" w:cs="宋体"/>
                <w:bCs/>
                <w:color w:val="000000"/>
                <w:sz w:val="28"/>
                <w:szCs w:val="28"/>
              </w:rPr>
            </w:pPr>
            <w:r>
              <w:rPr>
                <w:rFonts w:hint="eastAsia" w:ascii="宋体" w:hAnsi="宋体" w:cs="宋体"/>
                <w:bCs/>
                <w:color w:val="000000"/>
                <w:sz w:val="28"/>
                <w:szCs w:val="28"/>
              </w:rPr>
              <w:t>5.接口：支持PCIE5.0高速扩展槽,支持≥2个千兆电口和≥2个多模万兆光口；</w:t>
            </w:r>
          </w:p>
        </w:tc>
      </w:tr>
      <w:tr w14:paraId="7F3C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jc w:val="center"/>
        </w:trPr>
        <w:tc>
          <w:tcPr>
            <w:tcW w:w="905" w:type="dxa"/>
            <w:vMerge w:val="continue"/>
            <w:shd w:val="clear" w:color="auto" w:fill="FFFFFF"/>
            <w:noWrap w:val="0"/>
            <w:vAlign w:val="center"/>
          </w:tcPr>
          <w:p w14:paraId="369C023D">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539041F3">
            <w:pPr>
              <w:spacing w:line="360" w:lineRule="auto"/>
              <w:jc w:val="center"/>
              <w:rPr>
                <w:rFonts w:ascii="宋体" w:hAnsi="宋体" w:cs="宋体"/>
                <w:sz w:val="28"/>
                <w:szCs w:val="28"/>
              </w:rPr>
            </w:pPr>
          </w:p>
        </w:tc>
        <w:tc>
          <w:tcPr>
            <w:tcW w:w="7371" w:type="dxa"/>
            <w:shd w:val="clear" w:color="auto" w:fill="FFFFFF"/>
            <w:noWrap w:val="0"/>
            <w:vAlign w:val="top"/>
          </w:tcPr>
          <w:p w14:paraId="448C3B21">
            <w:pPr>
              <w:spacing w:line="360" w:lineRule="auto"/>
              <w:rPr>
                <w:rFonts w:ascii="宋体" w:hAnsi="宋体" w:cs="宋体"/>
                <w:bCs/>
                <w:color w:val="000000"/>
                <w:sz w:val="28"/>
                <w:szCs w:val="28"/>
              </w:rPr>
            </w:pPr>
            <w:r>
              <w:rPr>
                <w:rFonts w:hint="eastAsia" w:ascii="宋体" w:hAnsi="宋体" w:cs="宋体"/>
                <w:bCs/>
                <w:color w:val="000000"/>
                <w:sz w:val="28"/>
                <w:szCs w:val="28"/>
              </w:rPr>
              <w:t>6.电源类型：配置≥4块交流电源模块，冗余热插拔。</w:t>
            </w:r>
          </w:p>
        </w:tc>
      </w:tr>
      <w:tr w14:paraId="6190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05" w:type="dxa"/>
            <w:vMerge w:val="restart"/>
            <w:shd w:val="clear" w:color="auto" w:fill="FFFFFF"/>
            <w:noWrap w:val="0"/>
            <w:vAlign w:val="center"/>
          </w:tcPr>
          <w:p w14:paraId="63CE33A7">
            <w:pPr>
              <w:spacing w:line="360" w:lineRule="auto"/>
              <w:jc w:val="center"/>
              <w:rPr>
                <w:rFonts w:ascii="宋体" w:hAnsi="宋体" w:cs="宋体"/>
                <w:sz w:val="28"/>
                <w:szCs w:val="28"/>
              </w:rPr>
            </w:pPr>
            <w:r>
              <w:rPr>
                <w:rFonts w:hint="eastAsia" w:ascii="宋体" w:hAnsi="宋体" w:cs="宋体"/>
                <w:sz w:val="28"/>
                <w:szCs w:val="28"/>
              </w:rPr>
              <w:t>2</w:t>
            </w:r>
          </w:p>
        </w:tc>
        <w:tc>
          <w:tcPr>
            <w:tcW w:w="1538" w:type="dxa"/>
            <w:vMerge w:val="restart"/>
            <w:shd w:val="clear" w:color="auto" w:fill="FFFFFF"/>
            <w:noWrap w:val="0"/>
            <w:vAlign w:val="center"/>
          </w:tcPr>
          <w:p w14:paraId="11EDA14A">
            <w:pPr>
              <w:spacing w:line="360" w:lineRule="auto"/>
              <w:jc w:val="center"/>
              <w:rPr>
                <w:rFonts w:ascii="宋体" w:hAnsi="宋体" w:cs="宋体"/>
                <w:sz w:val="28"/>
                <w:szCs w:val="28"/>
              </w:rPr>
            </w:pPr>
            <w:r>
              <w:rPr>
                <w:rFonts w:hint="eastAsia" w:ascii="宋体" w:hAnsi="宋体" w:cs="宋体"/>
                <w:sz w:val="28"/>
                <w:szCs w:val="28"/>
              </w:rPr>
              <w:t>其它要求</w:t>
            </w:r>
          </w:p>
        </w:tc>
        <w:tc>
          <w:tcPr>
            <w:tcW w:w="7371" w:type="dxa"/>
            <w:shd w:val="clear" w:color="auto" w:fill="FFFFFF"/>
            <w:noWrap w:val="0"/>
            <w:vAlign w:val="center"/>
          </w:tcPr>
          <w:p w14:paraId="543F58D5">
            <w:pPr>
              <w:spacing w:line="360" w:lineRule="auto"/>
              <w:rPr>
                <w:rFonts w:ascii="宋体" w:hAnsi="宋体" w:cs="宋体"/>
                <w:bCs/>
                <w:color w:val="000000"/>
                <w:sz w:val="28"/>
                <w:szCs w:val="28"/>
              </w:rPr>
            </w:pPr>
            <w:r>
              <w:rPr>
                <w:rFonts w:hint="eastAsia" w:ascii="宋体" w:hAnsi="宋体" w:cs="宋体"/>
                <w:bCs/>
                <w:color w:val="000000"/>
                <w:sz w:val="28"/>
                <w:szCs w:val="28"/>
              </w:rPr>
              <w:t>1.专线部署要求：供应商负责将18台算力服务器通过独享物理专线链路连通至学院校内机房，全程点对点专线（速率：10G），组局域网，不连接互联网；专线双向带宽无拥堵，端到端平均时延≤</w:t>
            </w:r>
            <w:r>
              <w:rPr>
                <w:rFonts w:ascii="宋体" w:hAnsi="宋体" w:cs="宋体"/>
                <w:bCs/>
                <w:color w:val="000000"/>
                <w:sz w:val="28"/>
                <w:szCs w:val="28"/>
              </w:rPr>
              <w:t>10</w:t>
            </w:r>
            <w:r>
              <w:rPr>
                <w:rFonts w:hint="eastAsia" w:ascii="宋体" w:hAnsi="宋体" w:cs="宋体"/>
                <w:bCs/>
                <w:color w:val="000000"/>
                <w:sz w:val="28"/>
                <w:szCs w:val="28"/>
              </w:rPr>
              <w:t>ms；提供专线链路冗余方案，单链路故障可自动切换；</w:t>
            </w:r>
          </w:p>
        </w:tc>
      </w:tr>
      <w:tr w14:paraId="3759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7" w:hRule="atLeast"/>
          <w:jc w:val="center"/>
        </w:trPr>
        <w:tc>
          <w:tcPr>
            <w:tcW w:w="905" w:type="dxa"/>
            <w:vMerge w:val="continue"/>
            <w:shd w:val="clear" w:color="auto" w:fill="FFFFFF"/>
            <w:noWrap w:val="0"/>
            <w:vAlign w:val="center"/>
          </w:tcPr>
          <w:p w14:paraId="40DE2915">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75A5D284">
            <w:pPr>
              <w:spacing w:line="360" w:lineRule="auto"/>
              <w:jc w:val="center"/>
              <w:rPr>
                <w:rFonts w:ascii="宋体" w:hAnsi="宋体" w:cs="宋体"/>
                <w:sz w:val="28"/>
                <w:szCs w:val="28"/>
              </w:rPr>
            </w:pPr>
          </w:p>
        </w:tc>
        <w:tc>
          <w:tcPr>
            <w:tcW w:w="7371" w:type="dxa"/>
            <w:shd w:val="clear" w:color="auto" w:fill="FFFFFF"/>
            <w:noWrap w:val="0"/>
            <w:vAlign w:val="center"/>
          </w:tcPr>
          <w:p w14:paraId="662A7673">
            <w:pPr>
              <w:spacing w:line="360" w:lineRule="auto"/>
              <w:rPr>
                <w:rFonts w:ascii="宋体" w:hAnsi="宋体" w:cs="宋体"/>
                <w:bCs/>
                <w:color w:val="000000"/>
                <w:sz w:val="28"/>
                <w:szCs w:val="28"/>
              </w:rPr>
            </w:pPr>
            <w:r>
              <w:rPr>
                <w:rFonts w:hint="eastAsia" w:ascii="宋体" w:hAnsi="宋体" w:cs="宋体"/>
                <w:bCs/>
                <w:color w:val="000000"/>
                <w:sz w:val="28"/>
                <w:szCs w:val="28"/>
              </w:rPr>
              <w:t>2.资源隔离要求：18台服务器硬件层完全隔离，单台服务器CPU、内存、算力、本地存储资源物理独占，禁止采用虚拟化切分、容器共享硬件模式，避免多台算力抢占、互相干扰；</w:t>
            </w:r>
          </w:p>
        </w:tc>
      </w:tr>
      <w:tr w14:paraId="632D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52" w:hRule="atLeast"/>
          <w:jc w:val="center"/>
        </w:trPr>
        <w:tc>
          <w:tcPr>
            <w:tcW w:w="905" w:type="dxa"/>
            <w:vMerge w:val="continue"/>
            <w:shd w:val="clear" w:color="auto" w:fill="FFFFFF"/>
            <w:noWrap w:val="0"/>
            <w:vAlign w:val="center"/>
          </w:tcPr>
          <w:p w14:paraId="50F7E673">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1B051547">
            <w:pPr>
              <w:spacing w:line="360" w:lineRule="auto"/>
              <w:jc w:val="center"/>
              <w:rPr>
                <w:rFonts w:ascii="宋体" w:hAnsi="宋体" w:cs="宋体"/>
                <w:sz w:val="28"/>
                <w:szCs w:val="28"/>
              </w:rPr>
            </w:pPr>
          </w:p>
        </w:tc>
        <w:tc>
          <w:tcPr>
            <w:tcW w:w="7371" w:type="dxa"/>
            <w:shd w:val="clear" w:color="auto" w:fill="FFFFFF"/>
            <w:noWrap w:val="0"/>
            <w:vAlign w:val="center"/>
          </w:tcPr>
          <w:p w14:paraId="202A44FC">
            <w:pPr>
              <w:spacing w:line="360" w:lineRule="auto"/>
              <w:rPr>
                <w:rFonts w:ascii="宋体" w:hAnsi="宋体" w:cs="宋体"/>
                <w:bCs/>
                <w:color w:val="000000"/>
                <w:sz w:val="28"/>
                <w:szCs w:val="28"/>
              </w:rPr>
            </w:pPr>
            <w:r>
              <w:rPr>
                <w:rFonts w:hint="eastAsia" w:ascii="宋体" w:hAnsi="宋体" w:cs="宋体"/>
                <w:bCs/>
                <w:color w:val="000000"/>
                <w:sz w:val="28"/>
                <w:szCs w:val="28"/>
              </w:rPr>
              <w:t>3.系统调试：协助采购人完成18套算力服务器操作系统、算力卡驱动程序、基础开发环境以及依赖包的安装、部署及调试工作，确保能够支持32B以上参数大模型的异构计算；</w:t>
            </w:r>
          </w:p>
        </w:tc>
      </w:tr>
      <w:tr w14:paraId="63DB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841" w:hRule="atLeast"/>
          <w:jc w:val="center"/>
        </w:trPr>
        <w:tc>
          <w:tcPr>
            <w:tcW w:w="905" w:type="dxa"/>
            <w:vMerge w:val="continue"/>
            <w:shd w:val="clear" w:color="auto" w:fill="FFFFFF"/>
            <w:noWrap w:val="0"/>
            <w:vAlign w:val="center"/>
          </w:tcPr>
          <w:p w14:paraId="67C6D92E">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29E66C6F">
            <w:pPr>
              <w:spacing w:line="360" w:lineRule="auto"/>
              <w:jc w:val="center"/>
              <w:rPr>
                <w:rFonts w:ascii="宋体" w:hAnsi="宋体" w:cs="宋体"/>
                <w:sz w:val="28"/>
                <w:szCs w:val="28"/>
              </w:rPr>
            </w:pPr>
          </w:p>
        </w:tc>
        <w:tc>
          <w:tcPr>
            <w:tcW w:w="7371" w:type="dxa"/>
            <w:shd w:val="clear" w:color="auto" w:fill="FFFFFF"/>
            <w:noWrap w:val="0"/>
            <w:vAlign w:val="center"/>
          </w:tcPr>
          <w:p w14:paraId="6BEB577C">
            <w:pPr>
              <w:spacing w:line="360" w:lineRule="auto"/>
              <w:rPr>
                <w:rFonts w:ascii="宋体" w:hAnsi="宋体" w:cs="宋体"/>
                <w:bCs/>
                <w:color w:val="000000"/>
                <w:sz w:val="28"/>
                <w:szCs w:val="28"/>
              </w:rPr>
            </w:pPr>
            <w:r>
              <w:rPr>
                <w:rFonts w:hint="eastAsia" w:ascii="宋体" w:hAnsi="宋体" w:cs="宋体"/>
                <w:bCs/>
                <w:color w:val="000000"/>
                <w:sz w:val="28"/>
                <w:szCs w:val="28"/>
              </w:rPr>
              <w:t>4.硬盘使用：采购人在租赁期间使用服务器产生的数据仅存放于服务器配套硬盘内，供应商不得主动拷贝、迁移任何服务器产生的业务数据。租赁结束后，成交供应商须配合采购人完成数据迁移，并对每台服务器硬盘执行至少一次覆写数据销毁操作，出具数据销毁检测报告，禁止硬盘残留任何服务器使用期间留存的数据；</w:t>
            </w:r>
          </w:p>
        </w:tc>
      </w:tr>
      <w:tr w14:paraId="5D06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841" w:hRule="atLeast"/>
          <w:jc w:val="center"/>
        </w:trPr>
        <w:tc>
          <w:tcPr>
            <w:tcW w:w="905" w:type="dxa"/>
            <w:vMerge w:val="continue"/>
            <w:shd w:val="clear" w:color="auto" w:fill="FFFFFF"/>
            <w:noWrap w:val="0"/>
            <w:vAlign w:val="center"/>
          </w:tcPr>
          <w:p w14:paraId="1DF81BD0">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086F0136">
            <w:pPr>
              <w:spacing w:line="360" w:lineRule="auto"/>
              <w:jc w:val="center"/>
              <w:rPr>
                <w:rFonts w:ascii="宋体" w:hAnsi="宋体" w:cs="宋体"/>
                <w:sz w:val="28"/>
                <w:szCs w:val="28"/>
              </w:rPr>
            </w:pPr>
          </w:p>
        </w:tc>
        <w:tc>
          <w:tcPr>
            <w:tcW w:w="7371" w:type="dxa"/>
            <w:shd w:val="clear" w:color="auto" w:fill="FFFFFF"/>
            <w:noWrap w:val="0"/>
            <w:vAlign w:val="center"/>
          </w:tcPr>
          <w:p w14:paraId="67B473E9">
            <w:pPr>
              <w:spacing w:line="360" w:lineRule="auto"/>
              <w:rPr>
                <w:rFonts w:ascii="宋体" w:hAnsi="宋体" w:cs="宋体"/>
                <w:bCs/>
                <w:color w:val="000000"/>
                <w:sz w:val="28"/>
                <w:szCs w:val="28"/>
              </w:rPr>
            </w:pPr>
            <w:r>
              <w:rPr>
                <w:rFonts w:hint="eastAsia" w:ascii="宋体" w:hAnsi="宋体" w:cs="宋体"/>
                <w:bCs/>
                <w:color w:val="000000"/>
                <w:sz w:val="28"/>
                <w:szCs w:val="28"/>
              </w:rPr>
              <w:t>5.部署交付：供应商在租赁服务期开始前完成18台设备的系统调试和专线铺设后，交付前提供72小时不间断试运行测试，验证算力隔离、专线稳定性，试运行全部问题完成闭环整改，同步提供专线拓扑图、设备账号IP基础信息、环境部署手册等文档材料后，正式交付采购人使用，次日开始计算租赁时长；</w:t>
            </w:r>
          </w:p>
        </w:tc>
      </w:tr>
      <w:tr w14:paraId="4C3F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841" w:hRule="atLeast"/>
          <w:jc w:val="center"/>
        </w:trPr>
        <w:tc>
          <w:tcPr>
            <w:tcW w:w="905" w:type="dxa"/>
            <w:vMerge w:val="continue"/>
            <w:shd w:val="clear" w:color="auto" w:fill="FFFFFF"/>
            <w:noWrap w:val="0"/>
            <w:vAlign w:val="center"/>
          </w:tcPr>
          <w:p w14:paraId="5A593BFA">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528404F0">
            <w:pPr>
              <w:spacing w:line="360" w:lineRule="auto"/>
              <w:jc w:val="center"/>
              <w:rPr>
                <w:rFonts w:ascii="宋体" w:hAnsi="宋体" w:cs="宋体"/>
                <w:sz w:val="28"/>
                <w:szCs w:val="28"/>
              </w:rPr>
            </w:pPr>
          </w:p>
        </w:tc>
        <w:tc>
          <w:tcPr>
            <w:tcW w:w="7371" w:type="dxa"/>
            <w:shd w:val="clear" w:color="auto" w:fill="FFFFFF"/>
            <w:noWrap w:val="0"/>
            <w:vAlign w:val="center"/>
          </w:tcPr>
          <w:p w14:paraId="77B96D68">
            <w:pPr>
              <w:spacing w:line="360" w:lineRule="auto"/>
              <w:rPr>
                <w:rFonts w:ascii="宋体" w:hAnsi="宋体" w:cs="宋体"/>
                <w:bCs/>
                <w:color w:val="000000"/>
                <w:sz w:val="28"/>
                <w:szCs w:val="28"/>
              </w:rPr>
            </w:pPr>
            <w:r>
              <w:rPr>
                <w:rFonts w:hint="eastAsia" w:ascii="宋体" w:hAnsi="宋体" w:cs="宋体"/>
                <w:bCs/>
                <w:color w:val="000000"/>
                <w:sz w:val="28"/>
                <w:szCs w:val="28"/>
              </w:rPr>
              <w:t>6.安全审计：所有服务器登录、文件读写、数据上传、执行操作全程日志记录，日志留存周期覆盖整个租赁周期，甲方可随时调取审计；</w:t>
            </w:r>
          </w:p>
        </w:tc>
      </w:tr>
      <w:tr w14:paraId="030B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51" w:hRule="atLeast"/>
          <w:jc w:val="center"/>
        </w:trPr>
        <w:tc>
          <w:tcPr>
            <w:tcW w:w="905" w:type="dxa"/>
            <w:vMerge w:val="continue"/>
            <w:shd w:val="clear" w:color="auto" w:fill="FFFFFF"/>
            <w:noWrap w:val="0"/>
            <w:vAlign w:val="center"/>
          </w:tcPr>
          <w:p w14:paraId="74A320BD">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44630EE4">
            <w:pPr>
              <w:spacing w:line="360" w:lineRule="auto"/>
              <w:jc w:val="center"/>
              <w:rPr>
                <w:rFonts w:ascii="宋体" w:hAnsi="宋体" w:cs="宋体"/>
                <w:sz w:val="28"/>
                <w:szCs w:val="28"/>
              </w:rPr>
            </w:pPr>
          </w:p>
        </w:tc>
        <w:tc>
          <w:tcPr>
            <w:tcW w:w="7371" w:type="dxa"/>
            <w:shd w:val="clear" w:color="auto" w:fill="FFFFFF"/>
            <w:noWrap w:val="0"/>
            <w:vAlign w:val="center"/>
          </w:tcPr>
          <w:p w14:paraId="718E3464">
            <w:pPr>
              <w:spacing w:line="360" w:lineRule="auto"/>
              <w:rPr>
                <w:rFonts w:ascii="宋体" w:hAnsi="宋体" w:cs="宋体"/>
                <w:bCs/>
                <w:color w:val="000000"/>
                <w:sz w:val="28"/>
                <w:szCs w:val="28"/>
              </w:rPr>
            </w:pPr>
            <w:r>
              <w:rPr>
                <w:rFonts w:hint="eastAsia" w:ascii="宋体" w:hAnsi="宋体" w:cs="宋体"/>
                <w:bCs/>
                <w:color w:val="000000"/>
                <w:sz w:val="28"/>
                <w:szCs w:val="28"/>
              </w:rPr>
              <w:t xml:space="preserve">7.故障修复：租赁期间，供应商须提供7×24小时技术保障服务，如遇硬件故障，供应商响应时间≤30分钟，修复周期≤1小时，若单台服务器故障无法修复，供应商需在1小时内提供同规格备用服务器进行替换，保障采购人使用不间断，故障停机时长按租赁时长等额顺延补偿； </w:t>
            </w:r>
          </w:p>
        </w:tc>
      </w:tr>
      <w:tr w14:paraId="2F09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841" w:hRule="atLeast"/>
          <w:jc w:val="center"/>
        </w:trPr>
        <w:tc>
          <w:tcPr>
            <w:tcW w:w="905" w:type="dxa"/>
            <w:vMerge w:val="continue"/>
            <w:shd w:val="clear" w:color="auto" w:fill="FFFFFF"/>
            <w:noWrap w:val="0"/>
            <w:vAlign w:val="center"/>
          </w:tcPr>
          <w:p w14:paraId="4BE77C04">
            <w:pPr>
              <w:spacing w:line="360" w:lineRule="auto"/>
              <w:jc w:val="center"/>
              <w:rPr>
                <w:rFonts w:ascii="宋体" w:hAnsi="宋体" w:cs="宋体"/>
                <w:sz w:val="28"/>
                <w:szCs w:val="28"/>
              </w:rPr>
            </w:pPr>
          </w:p>
        </w:tc>
        <w:tc>
          <w:tcPr>
            <w:tcW w:w="1538" w:type="dxa"/>
            <w:vMerge w:val="continue"/>
            <w:shd w:val="clear" w:color="auto" w:fill="FFFFFF"/>
            <w:noWrap w:val="0"/>
            <w:vAlign w:val="center"/>
          </w:tcPr>
          <w:p w14:paraId="1AB605B3">
            <w:pPr>
              <w:spacing w:line="360" w:lineRule="auto"/>
              <w:jc w:val="center"/>
              <w:rPr>
                <w:rFonts w:ascii="宋体" w:hAnsi="宋体" w:cs="宋体"/>
                <w:sz w:val="28"/>
                <w:szCs w:val="28"/>
              </w:rPr>
            </w:pPr>
          </w:p>
        </w:tc>
        <w:tc>
          <w:tcPr>
            <w:tcW w:w="7371" w:type="dxa"/>
            <w:shd w:val="clear" w:color="auto" w:fill="FFFFFF"/>
            <w:noWrap w:val="0"/>
            <w:vAlign w:val="center"/>
          </w:tcPr>
          <w:p w14:paraId="6A9D13AD">
            <w:pPr>
              <w:spacing w:line="360" w:lineRule="auto"/>
              <w:rPr>
                <w:rFonts w:ascii="宋体" w:hAnsi="宋体" w:cs="宋体"/>
                <w:bCs/>
                <w:color w:val="000000"/>
                <w:sz w:val="28"/>
                <w:szCs w:val="28"/>
              </w:rPr>
            </w:pPr>
            <w:r>
              <w:rPr>
                <w:rFonts w:hint="eastAsia" w:ascii="宋体" w:hAnsi="宋体" w:cs="宋体"/>
                <w:bCs/>
                <w:color w:val="000000"/>
                <w:sz w:val="28"/>
                <w:szCs w:val="28"/>
              </w:rPr>
              <w:t>8.资源调整:供应商不得私自调整任意节点算力资源、网络带宽；所有资源变更操作须书面告知采购人并经采购人许可，全程留痕备查。</w:t>
            </w:r>
          </w:p>
        </w:tc>
      </w:tr>
      <w:bookmarkEnd w:id="0"/>
    </w:tbl>
    <w:p w14:paraId="528733C4">
      <w:pPr>
        <w:autoSpaceDE w:val="0"/>
        <w:autoSpaceDN w:val="0"/>
        <w:adjustRightInd w:val="0"/>
        <w:spacing w:after="312" w:afterLines="100"/>
        <w:jc w:val="center"/>
        <w:outlineLvl w:val="0"/>
        <w:rPr>
          <w:rFonts w:ascii="黑体" w:hAnsi="黑体" w:eastAsia="黑体" w:cs="黑体"/>
          <w:sz w:val="44"/>
          <w:szCs w:val="44"/>
        </w:rPr>
      </w:pPr>
      <w:r>
        <w:rPr>
          <w:rFonts w:hint="eastAsia" w:ascii="黑体" w:hAnsi="黑体" w:eastAsia="黑体" w:cs="黑体"/>
          <w:sz w:val="44"/>
          <w:szCs w:val="44"/>
          <w:lang w:val="zh-CN"/>
        </w:rPr>
        <w:br w:type="page"/>
      </w:r>
      <w:r>
        <w:rPr>
          <w:rFonts w:hint="eastAsia" w:ascii="黑体" w:hAnsi="黑体" w:eastAsia="黑体" w:cs="黑体"/>
          <w:sz w:val="44"/>
          <w:szCs w:val="44"/>
          <w:lang w:val="zh-CN"/>
        </w:rPr>
        <w:t>报价人</w:t>
      </w:r>
      <w:r>
        <w:rPr>
          <w:rFonts w:hint="eastAsia" w:ascii="黑体" w:hAnsi="黑体" w:eastAsia="黑体" w:cs="黑体"/>
          <w:sz w:val="44"/>
          <w:szCs w:val="44"/>
        </w:rPr>
        <w:t>须知</w:t>
      </w:r>
    </w:p>
    <w:p w14:paraId="646A6267">
      <w:pPr>
        <w:pStyle w:val="6"/>
        <w:widowControl/>
        <w:spacing w:line="560" w:lineRule="exact"/>
        <w:ind w:firstLine="576"/>
        <w:rPr>
          <w:rFonts w:ascii="楷体" w:hAnsi="楷体" w:eastAsia="楷体" w:cs="楷体"/>
          <w:bCs/>
          <w:sz w:val="28"/>
          <w:szCs w:val="28"/>
        </w:rPr>
      </w:pPr>
      <w:r>
        <w:rPr>
          <w:rFonts w:hint="eastAsia" w:ascii="楷体" w:hAnsi="楷体" w:eastAsia="楷体" w:cs="楷体"/>
          <w:bCs/>
          <w:sz w:val="28"/>
          <w:szCs w:val="28"/>
        </w:rPr>
        <w:t>报价书构成</w:t>
      </w:r>
    </w:p>
    <w:p w14:paraId="6834777D">
      <w:pPr>
        <w:pStyle w:val="6"/>
        <w:widowControl/>
        <w:spacing w:line="560" w:lineRule="exact"/>
        <w:ind w:firstLine="576"/>
        <w:rPr>
          <w:rFonts w:ascii="楷体" w:hAnsi="楷体" w:eastAsia="楷体" w:cs="楷体"/>
          <w:sz w:val="28"/>
          <w:szCs w:val="28"/>
        </w:rPr>
      </w:pPr>
      <w:r>
        <w:rPr>
          <w:rFonts w:hint="eastAsia" w:ascii="楷体" w:hAnsi="楷体" w:eastAsia="楷体" w:cs="楷体"/>
          <w:sz w:val="28"/>
          <w:szCs w:val="28"/>
        </w:rPr>
        <w:t>（一）营业执照复印件并加盖报价供应商公章</w:t>
      </w:r>
    </w:p>
    <w:p w14:paraId="3D5499F4">
      <w:pPr>
        <w:pStyle w:val="6"/>
        <w:widowControl/>
        <w:spacing w:line="560" w:lineRule="exact"/>
        <w:ind w:firstLine="576"/>
        <w:rPr>
          <w:rFonts w:ascii="楷体" w:hAnsi="楷体" w:eastAsia="楷体" w:cs="楷体"/>
          <w:sz w:val="28"/>
          <w:szCs w:val="28"/>
        </w:rPr>
      </w:pPr>
      <w:r>
        <w:rPr>
          <w:rFonts w:hint="eastAsia" w:ascii="楷体" w:hAnsi="楷体" w:eastAsia="楷体" w:cs="楷体"/>
          <w:sz w:val="28"/>
          <w:szCs w:val="28"/>
        </w:rPr>
        <w:t>（二）报价表（附件1）</w:t>
      </w:r>
    </w:p>
    <w:p w14:paraId="6108F245">
      <w:pPr>
        <w:spacing w:line="560" w:lineRule="exact"/>
        <w:rPr>
          <w:rFonts w:ascii="楷体" w:hAnsi="楷体" w:eastAsia="楷体" w:cs="楷体"/>
          <w:color w:val="000000"/>
          <w:sz w:val="28"/>
          <w:szCs w:val="28"/>
        </w:rPr>
      </w:pPr>
      <w:r>
        <w:rPr>
          <w:rFonts w:hint="eastAsia" w:ascii="楷体" w:hAnsi="楷体" w:eastAsia="楷体" w:cs="楷体"/>
          <w:color w:val="000000"/>
          <w:sz w:val="28"/>
          <w:szCs w:val="28"/>
          <w:lang w:bidi="ar"/>
        </w:rPr>
        <w:t>说明：</w:t>
      </w:r>
    </w:p>
    <w:p w14:paraId="2338F9F8">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bidi="ar"/>
        </w:rPr>
        <w:t>未密封或者在规定时间内未送达我单位的一律拒绝收取。提交材料至少包含以上资料，缺少一项其报价作无效处理，所有资料需加盖供应商公章、完善相关签名并密封，未盖公章视为无效报价。</w:t>
      </w:r>
    </w:p>
    <w:p w14:paraId="75BDB4ED">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bidi="ar"/>
        </w:rPr>
        <w:t>报价人须按上述统一格式及顺序向采购人提供《报价书》，否则可能被视为无效报价。</w:t>
      </w:r>
    </w:p>
    <w:p w14:paraId="34CAEA4C">
      <w:pPr>
        <w:pStyle w:val="8"/>
        <w:tabs>
          <w:tab w:val="left" w:pos="1875"/>
        </w:tabs>
        <w:ind w:left="0" w:leftChars="0" w:firstLine="560"/>
        <w:rPr>
          <w:rFonts w:hint="eastAsia" w:ascii="楷体" w:hAnsi="楷体" w:eastAsia="楷体" w:cs="楷体"/>
          <w:sz w:val="28"/>
          <w:szCs w:val="28"/>
        </w:rPr>
      </w:pPr>
      <w:r>
        <w:rPr>
          <w:rFonts w:eastAsia="黑体"/>
          <w:sz w:val="28"/>
          <w:szCs w:val="28"/>
        </w:rPr>
        <w:br w:type="page"/>
      </w:r>
      <w:r>
        <w:rPr>
          <w:rFonts w:ascii="仿宋_GB2312" w:hAnsi="微软雅黑" w:eastAsia="仿宋_GB2312"/>
          <w:sz w:val="28"/>
          <w:szCs w:val="28"/>
        </w:rPr>
        <w:t>附件</w:t>
      </w:r>
      <w:r>
        <w:rPr>
          <w:rFonts w:hint="eastAsia" w:ascii="仿宋_GB2312" w:hAnsi="微软雅黑" w:eastAsia="仿宋_GB2312"/>
          <w:sz w:val="28"/>
          <w:szCs w:val="28"/>
        </w:rPr>
        <w:t>1</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378"/>
        <w:gridCol w:w="3331"/>
        <w:gridCol w:w="1608"/>
      </w:tblGrid>
      <w:tr w14:paraId="442F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117" w:type="dxa"/>
            <w:gridSpan w:val="4"/>
            <w:vMerge w:val="restart"/>
            <w:tcBorders>
              <w:top w:val="nil"/>
              <w:left w:val="nil"/>
              <w:right w:val="nil"/>
            </w:tcBorders>
            <w:noWrap w:val="0"/>
            <w:vAlign w:val="center"/>
          </w:tcPr>
          <w:p w14:paraId="331734D3">
            <w:pPr>
              <w:pStyle w:val="11"/>
              <w:spacing w:line="560" w:lineRule="exact"/>
              <w:rPr>
                <w:rFonts w:hint="eastAsia" w:cs="宋体"/>
                <w:b w:val="0"/>
                <w:color w:val="000000"/>
                <w:kern w:val="0"/>
                <w:sz w:val="44"/>
              </w:rPr>
            </w:pPr>
            <w:r>
              <w:rPr>
                <w:rFonts w:hint="eastAsia"/>
                <w:b w:val="0"/>
                <w:sz w:val="44"/>
              </w:rPr>
              <w:t>报价表</w:t>
            </w:r>
          </w:p>
        </w:tc>
      </w:tr>
      <w:tr w14:paraId="3B4A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9117" w:type="dxa"/>
            <w:gridSpan w:val="4"/>
            <w:vMerge w:val="continue"/>
            <w:tcBorders>
              <w:top w:val="nil"/>
              <w:left w:val="nil"/>
              <w:right w:val="nil"/>
            </w:tcBorders>
            <w:noWrap w:val="0"/>
            <w:vAlign w:val="center"/>
          </w:tcPr>
          <w:p w14:paraId="6923DEBC">
            <w:pPr>
              <w:widowControl/>
              <w:jc w:val="left"/>
              <w:rPr>
                <w:rFonts w:ascii="方正小标宋简体" w:hAnsi="宋体" w:eastAsia="方正小标宋简体" w:cs="宋体"/>
                <w:color w:val="000000"/>
                <w:kern w:val="0"/>
                <w:sz w:val="44"/>
                <w:szCs w:val="44"/>
              </w:rPr>
            </w:pPr>
          </w:p>
        </w:tc>
      </w:tr>
      <w:tr w14:paraId="6D5C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00" w:type="dxa"/>
            <w:noWrap w:val="0"/>
            <w:vAlign w:val="center"/>
          </w:tcPr>
          <w:p w14:paraId="26293E95">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名称</w:t>
            </w:r>
          </w:p>
        </w:tc>
        <w:tc>
          <w:tcPr>
            <w:tcW w:w="5709" w:type="dxa"/>
            <w:gridSpan w:val="2"/>
            <w:noWrap w:val="0"/>
            <w:vAlign w:val="center"/>
          </w:tcPr>
          <w:p w14:paraId="6A620390">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服务明细</w:t>
            </w:r>
          </w:p>
        </w:tc>
        <w:tc>
          <w:tcPr>
            <w:tcW w:w="1608" w:type="dxa"/>
            <w:noWrap w:val="0"/>
            <w:vAlign w:val="center"/>
          </w:tcPr>
          <w:p w14:paraId="470D3F40">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w:t>
            </w:r>
          </w:p>
        </w:tc>
      </w:tr>
      <w:tr w14:paraId="2CDC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jc w:val="center"/>
        </w:trPr>
        <w:tc>
          <w:tcPr>
            <w:tcW w:w="1800" w:type="dxa"/>
            <w:noWrap w:val="0"/>
            <w:vAlign w:val="center"/>
          </w:tcPr>
          <w:p w14:paraId="2A8DD09B">
            <w:pPr>
              <w:widowControl/>
              <w:spacing w:before="156" w:beforeLines="50" w:line="312" w:lineRule="auto"/>
              <w:jc w:val="center"/>
              <w:rPr>
                <w:rFonts w:hint="eastAsia" w:ascii="宋体" w:hAnsi="宋体" w:eastAsia="黑体" w:cs="宋体"/>
                <w:kern w:val="0"/>
                <w:sz w:val="24"/>
              </w:rPr>
            </w:pPr>
            <w:r>
              <w:rPr>
                <w:rFonts w:hint="eastAsia" w:ascii="黑体" w:hAnsi="黑体" w:eastAsia="黑体"/>
                <w:sz w:val="28"/>
                <w:szCs w:val="28"/>
              </w:rPr>
              <w:t>硬件及配套服务</w:t>
            </w:r>
            <w:r>
              <w:rPr>
                <w:rFonts w:ascii="黑体" w:hAnsi="黑体" w:eastAsia="黑体"/>
                <w:sz w:val="28"/>
                <w:szCs w:val="28"/>
              </w:rPr>
              <w:t>采购项目</w:t>
            </w:r>
          </w:p>
        </w:tc>
        <w:tc>
          <w:tcPr>
            <w:tcW w:w="5709" w:type="dxa"/>
            <w:gridSpan w:val="2"/>
            <w:noWrap w:val="0"/>
            <w:vAlign w:val="center"/>
          </w:tcPr>
          <w:p w14:paraId="581D8262">
            <w:pPr>
              <w:adjustRightInd w:val="0"/>
              <w:snapToGrid w:val="0"/>
              <w:spacing w:line="360" w:lineRule="auto"/>
              <w:rPr>
                <w:rFonts w:hint="eastAsia" w:ascii="宋体" w:hAnsi="宋体" w:cs="宋体"/>
                <w:color w:val="000000"/>
                <w:kern w:val="0"/>
                <w:sz w:val="32"/>
                <w:szCs w:val="32"/>
              </w:rPr>
            </w:pPr>
            <w:r>
              <w:rPr>
                <w:rFonts w:hint="eastAsia" w:ascii="仿宋_GB2312" w:hAnsi="仿宋_GB2312" w:eastAsia="仿宋_GB2312" w:cs="仿宋_GB2312"/>
                <w:color w:val="000000"/>
                <w:sz w:val="30"/>
                <w:szCs w:val="30"/>
              </w:rPr>
              <w:t>本公司承诺完全响应本项目所有要求。（具体要求</w:t>
            </w:r>
            <w:r>
              <w:rPr>
                <w:rFonts w:ascii="仿宋_GB2312" w:hAnsi="仿宋_GB2312" w:eastAsia="仿宋_GB2312" w:cs="仿宋_GB2312"/>
                <w:color w:val="000000"/>
                <w:sz w:val="30"/>
                <w:szCs w:val="30"/>
              </w:rPr>
              <w:t>以本项目比价公告及公告附件为准</w:t>
            </w:r>
            <w:r>
              <w:rPr>
                <w:rFonts w:hint="eastAsia" w:ascii="仿宋_GB2312" w:hAnsi="仿宋_GB2312" w:eastAsia="仿宋_GB2312" w:cs="仿宋_GB2312"/>
                <w:color w:val="000000"/>
                <w:sz w:val="30"/>
                <w:szCs w:val="30"/>
              </w:rPr>
              <w:t>）。</w:t>
            </w:r>
          </w:p>
        </w:tc>
        <w:tc>
          <w:tcPr>
            <w:tcW w:w="1608" w:type="dxa"/>
            <w:noWrap w:val="0"/>
            <w:vAlign w:val="center"/>
          </w:tcPr>
          <w:p w14:paraId="59185D3F">
            <w:pPr>
              <w:widowControl/>
              <w:jc w:val="left"/>
              <w:rPr>
                <w:rFonts w:ascii="宋体" w:hAnsi="宋体" w:cs="宋体"/>
                <w:color w:val="000000"/>
                <w:kern w:val="0"/>
                <w:sz w:val="32"/>
                <w:szCs w:val="32"/>
              </w:rPr>
            </w:pPr>
          </w:p>
        </w:tc>
      </w:tr>
      <w:tr w14:paraId="5BEB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0" w:type="dxa"/>
            <w:noWrap w:val="0"/>
            <w:vAlign w:val="center"/>
          </w:tcPr>
          <w:p w14:paraId="252EA337">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报价时间</w:t>
            </w:r>
          </w:p>
        </w:tc>
        <w:tc>
          <w:tcPr>
            <w:tcW w:w="7317" w:type="dxa"/>
            <w:gridSpan w:val="3"/>
            <w:noWrap w:val="0"/>
            <w:vAlign w:val="center"/>
          </w:tcPr>
          <w:p w14:paraId="0CE0AD12">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FFFFFF"/>
                <w:kern w:val="0"/>
                <w:sz w:val="32"/>
                <w:szCs w:val="32"/>
              </w:rPr>
              <w:t>2025</w:t>
            </w:r>
            <w:r>
              <w:rPr>
                <w:rFonts w:hint="eastAsia" w:ascii="仿宋_GB2312" w:hAnsi="宋体" w:eastAsia="仿宋_GB2312" w:cs="宋体"/>
                <w:color w:val="000000"/>
                <w:kern w:val="0"/>
                <w:sz w:val="32"/>
                <w:szCs w:val="32"/>
              </w:rPr>
              <w:t>年</w:t>
            </w:r>
            <w:r>
              <w:rPr>
                <w:rFonts w:hint="eastAsia" w:ascii="仿宋_GB2312" w:hAnsi="宋体" w:eastAsia="仿宋_GB2312" w:cs="宋体"/>
                <w:color w:val="FFFFFF"/>
                <w:kern w:val="0"/>
                <w:sz w:val="32"/>
                <w:szCs w:val="32"/>
              </w:rPr>
              <w:t>9</w:t>
            </w:r>
            <w:r>
              <w:rPr>
                <w:rFonts w:hint="eastAsia" w:ascii="仿宋_GB2312" w:hAnsi="宋体" w:eastAsia="仿宋_GB2312" w:cs="宋体"/>
                <w:color w:val="000000"/>
                <w:kern w:val="0"/>
                <w:sz w:val="32"/>
                <w:szCs w:val="32"/>
              </w:rPr>
              <w:t>月</w:t>
            </w:r>
            <w:r>
              <w:rPr>
                <w:rFonts w:hint="eastAsia" w:ascii="仿宋_GB2312" w:hAnsi="宋体" w:eastAsia="仿宋_GB2312" w:cs="宋体"/>
                <w:color w:val="FFFFFF"/>
                <w:kern w:val="0"/>
                <w:sz w:val="32"/>
                <w:szCs w:val="32"/>
              </w:rPr>
              <w:t>4</w:t>
            </w:r>
            <w:r>
              <w:rPr>
                <w:rFonts w:hint="eastAsia" w:ascii="仿宋_GB2312" w:hAnsi="宋体" w:eastAsia="仿宋_GB2312" w:cs="宋体"/>
                <w:color w:val="000000"/>
                <w:kern w:val="0"/>
                <w:sz w:val="32"/>
                <w:szCs w:val="32"/>
              </w:rPr>
              <w:t>日</w:t>
            </w:r>
            <w:r>
              <w:rPr>
                <w:rFonts w:hint="eastAsia" w:ascii="仿宋_GB2312" w:hAnsi="宋体" w:eastAsia="仿宋_GB2312" w:cs="宋体"/>
                <w:color w:val="FFFFFF"/>
                <w:kern w:val="0"/>
                <w:sz w:val="32"/>
                <w:szCs w:val="32"/>
              </w:rPr>
              <w:t>10</w:t>
            </w:r>
            <w:r>
              <w:rPr>
                <w:rFonts w:hint="eastAsia" w:ascii="仿宋_GB2312" w:hAnsi="宋体" w:eastAsia="仿宋_GB2312" w:cs="宋体"/>
                <w:color w:val="000000"/>
                <w:kern w:val="0"/>
                <w:sz w:val="32"/>
                <w:szCs w:val="32"/>
              </w:rPr>
              <w:t>时</w:t>
            </w:r>
          </w:p>
        </w:tc>
      </w:tr>
      <w:tr w14:paraId="4DE7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800" w:type="dxa"/>
            <w:noWrap w:val="0"/>
            <w:vAlign w:val="center"/>
          </w:tcPr>
          <w:p w14:paraId="1E4BC170">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报价地点</w:t>
            </w:r>
          </w:p>
        </w:tc>
        <w:tc>
          <w:tcPr>
            <w:tcW w:w="7317" w:type="dxa"/>
            <w:gridSpan w:val="3"/>
            <w:noWrap w:val="0"/>
            <w:vAlign w:val="center"/>
          </w:tcPr>
          <w:p w14:paraId="2198E185">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江苏省南京市（以采购方通知为准）</w:t>
            </w:r>
          </w:p>
        </w:tc>
      </w:tr>
      <w:tr w14:paraId="625A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800" w:type="dxa"/>
            <w:noWrap w:val="0"/>
            <w:vAlign w:val="center"/>
          </w:tcPr>
          <w:p w14:paraId="5CCA4C88">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报价方式</w:t>
            </w:r>
          </w:p>
        </w:tc>
        <w:tc>
          <w:tcPr>
            <w:tcW w:w="7317" w:type="dxa"/>
            <w:gridSpan w:val="3"/>
            <w:noWrap w:val="0"/>
            <w:vAlign w:val="center"/>
          </w:tcPr>
          <w:p w14:paraId="5E9F9BC8">
            <w:pPr>
              <w:widowControl/>
              <w:jc w:val="center"/>
              <w:rPr>
                <w:rFonts w:ascii="仿宋_GB2312" w:hAnsi="宋体" w:eastAsia="仿宋_GB2312" w:cs="宋体"/>
                <w:color w:val="000000"/>
                <w:kern w:val="0"/>
                <w:sz w:val="32"/>
                <w:szCs w:val="32"/>
              </w:rPr>
            </w:pPr>
            <w:r>
              <w:rPr>
                <w:rFonts w:hint="eastAsia" w:ascii="仿宋_GB2312" w:hAnsi="宋体" w:eastAsia="仿宋_GB2312" w:cs="宋体"/>
                <w:color w:val="000000"/>
                <w:sz w:val="32"/>
                <w:szCs w:val="32"/>
              </w:rPr>
              <w:t>邮寄/现场递交</w:t>
            </w:r>
          </w:p>
        </w:tc>
      </w:tr>
      <w:tr w14:paraId="1057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00" w:type="dxa"/>
            <w:vMerge w:val="restart"/>
            <w:noWrap w:val="0"/>
            <w:vAlign w:val="center"/>
          </w:tcPr>
          <w:p w14:paraId="5C908260">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报价人</w:t>
            </w:r>
          </w:p>
        </w:tc>
        <w:tc>
          <w:tcPr>
            <w:tcW w:w="2378" w:type="dxa"/>
            <w:vMerge w:val="restart"/>
            <w:noWrap w:val="0"/>
            <w:vAlign w:val="center"/>
          </w:tcPr>
          <w:p w14:paraId="3DDDEBBF">
            <w:pPr>
              <w:widowControl/>
              <w:rPr>
                <w:rFonts w:ascii="宋体" w:hAnsi="宋体" w:cs="宋体"/>
                <w:color w:val="000000"/>
                <w:kern w:val="0"/>
                <w:sz w:val="36"/>
                <w:szCs w:val="36"/>
              </w:rPr>
            </w:pPr>
          </w:p>
        </w:tc>
        <w:tc>
          <w:tcPr>
            <w:tcW w:w="4939" w:type="dxa"/>
            <w:gridSpan w:val="2"/>
            <w:vMerge w:val="restart"/>
            <w:noWrap w:val="0"/>
            <w:vAlign w:val="center"/>
          </w:tcPr>
          <w:p w14:paraId="1D095EB4">
            <w:pPr>
              <w:widowControl/>
              <w:rPr>
                <w:rFonts w:ascii="宋体" w:hAnsi="宋体" w:cs="宋体"/>
                <w:color w:val="000000"/>
                <w:kern w:val="0"/>
                <w:sz w:val="36"/>
                <w:szCs w:val="36"/>
              </w:rPr>
            </w:pPr>
            <w:r>
              <w:rPr>
                <w:rFonts w:hint="eastAsia" w:ascii="黑体" w:hAnsi="黑体" w:eastAsia="黑体" w:cs="宋体"/>
                <w:color w:val="000000"/>
                <w:kern w:val="0"/>
                <w:sz w:val="32"/>
                <w:szCs w:val="32"/>
              </w:rPr>
              <w:t>联系电话：</w:t>
            </w:r>
          </w:p>
        </w:tc>
      </w:tr>
      <w:tr w14:paraId="0691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00" w:type="dxa"/>
            <w:vMerge w:val="continue"/>
            <w:noWrap w:val="0"/>
            <w:vAlign w:val="center"/>
          </w:tcPr>
          <w:p w14:paraId="63DF6DC0">
            <w:pPr>
              <w:widowControl/>
              <w:jc w:val="left"/>
              <w:rPr>
                <w:rFonts w:ascii="黑体" w:hAnsi="黑体" w:eastAsia="黑体" w:cs="宋体"/>
                <w:color w:val="000000"/>
                <w:kern w:val="0"/>
                <w:sz w:val="32"/>
                <w:szCs w:val="32"/>
              </w:rPr>
            </w:pPr>
          </w:p>
        </w:tc>
        <w:tc>
          <w:tcPr>
            <w:tcW w:w="2378" w:type="dxa"/>
            <w:vMerge w:val="continue"/>
            <w:noWrap w:val="0"/>
            <w:vAlign w:val="center"/>
          </w:tcPr>
          <w:p w14:paraId="517DBDD7">
            <w:pPr>
              <w:widowControl/>
              <w:jc w:val="left"/>
              <w:rPr>
                <w:rFonts w:ascii="宋体" w:hAnsi="宋体" w:cs="宋体"/>
                <w:color w:val="000000"/>
                <w:kern w:val="0"/>
                <w:sz w:val="36"/>
                <w:szCs w:val="36"/>
              </w:rPr>
            </w:pPr>
          </w:p>
        </w:tc>
        <w:tc>
          <w:tcPr>
            <w:tcW w:w="4939" w:type="dxa"/>
            <w:gridSpan w:val="2"/>
            <w:vMerge w:val="continue"/>
            <w:noWrap w:val="0"/>
            <w:vAlign w:val="center"/>
          </w:tcPr>
          <w:p w14:paraId="401BCD26">
            <w:pPr>
              <w:widowControl/>
              <w:jc w:val="left"/>
              <w:rPr>
                <w:rFonts w:ascii="宋体" w:hAnsi="宋体" w:cs="宋体"/>
                <w:color w:val="000000"/>
                <w:kern w:val="0"/>
                <w:sz w:val="36"/>
                <w:szCs w:val="36"/>
              </w:rPr>
            </w:pPr>
          </w:p>
        </w:tc>
      </w:tr>
      <w:tr w14:paraId="609B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800" w:type="dxa"/>
            <w:vMerge w:val="continue"/>
            <w:noWrap w:val="0"/>
            <w:vAlign w:val="center"/>
          </w:tcPr>
          <w:p w14:paraId="4CD82163">
            <w:pPr>
              <w:widowControl/>
              <w:jc w:val="left"/>
              <w:rPr>
                <w:rFonts w:ascii="黑体" w:hAnsi="黑体" w:eastAsia="黑体" w:cs="宋体"/>
                <w:color w:val="000000"/>
                <w:kern w:val="0"/>
                <w:sz w:val="32"/>
                <w:szCs w:val="32"/>
              </w:rPr>
            </w:pPr>
          </w:p>
        </w:tc>
        <w:tc>
          <w:tcPr>
            <w:tcW w:w="2378" w:type="dxa"/>
            <w:vMerge w:val="continue"/>
            <w:noWrap w:val="0"/>
            <w:vAlign w:val="center"/>
          </w:tcPr>
          <w:p w14:paraId="13759EAC">
            <w:pPr>
              <w:widowControl/>
              <w:jc w:val="left"/>
              <w:rPr>
                <w:rFonts w:ascii="宋体" w:hAnsi="宋体" w:cs="宋体"/>
                <w:color w:val="000000"/>
                <w:kern w:val="0"/>
                <w:sz w:val="36"/>
                <w:szCs w:val="36"/>
              </w:rPr>
            </w:pPr>
          </w:p>
        </w:tc>
        <w:tc>
          <w:tcPr>
            <w:tcW w:w="4939" w:type="dxa"/>
            <w:gridSpan w:val="2"/>
            <w:vMerge w:val="continue"/>
            <w:noWrap w:val="0"/>
            <w:vAlign w:val="center"/>
          </w:tcPr>
          <w:p w14:paraId="053D6A4D">
            <w:pPr>
              <w:widowControl/>
              <w:jc w:val="left"/>
              <w:rPr>
                <w:rFonts w:ascii="宋体" w:hAnsi="宋体" w:cs="宋体"/>
                <w:color w:val="000000"/>
                <w:kern w:val="0"/>
                <w:sz w:val="36"/>
                <w:szCs w:val="36"/>
              </w:rPr>
            </w:pPr>
          </w:p>
        </w:tc>
      </w:tr>
      <w:tr w14:paraId="2209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jc w:val="center"/>
        </w:trPr>
        <w:tc>
          <w:tcPr>
            <w:tcW w:w="1800" w:type="dxa"/>
            <w:noWrap w:val="0"/>
            <w:vAlign w:val="center"/>
          </w:tcPr>
          <w:p w14:paraId="6B57BBE9">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报价单位</w:t>
            </w:r>
          </w:p>
        </w:tc>
        <w:tc>
          <w:tcPr>
            <w:tcW w:w="7317" w:type="dxa"/>
            <w:gridSpan w:val="3"/>
            <w:noWrap w:val="0"/>
            <w:vAlign w:val="center"/>
          </w:tcPr>
          <w:p w14:paraId="441CD33C">
            <w:pPr>
              <w:widowControl/>
              <w:jc w:val="left"/>
              <w:rPr>
                <w:rFonts w:ascii="楷体_GB2312" w:hAnsi="宋体" w:eastAsia="楷体_GB2312" w:cs="宋体"/>
                <w:color w:val="000000"/>
                <w:kern w:val="0"/>
                <w:sz w:val="32"/>
                <w:szCs w:val="32"/>
              </w:rPr>
            </w:pPr>
            <w:r>
              <w:rPr>
                <w:rFonts w:hint="eastAsia" w:ascii="楷体_GB2312" w:hAnsi="宋体" w:eastAsia="楷体_GB2312" w:cs="宋体"/>
                <w:color w:val="000000"/>
                <w:kern w:val="0"/>
                <w:sz w:val="32"/>
                <w:szCs w:val="32"/>
              </w:rPr>
              <w:t xml:space="preserve">                              盖章</w:t>
            </w:r>
          </w:p>
        </w:tc>
      </w:tr>
    </w:tbl>
    <w:p w14:paraId="75C4AEF3">
      <w:pPr>
        <w:pStyle w:val="8"/>
        <w:widowControl/>
        <w:ind w:left="0" w:leftChars="0" w:firstLine="0" w:firstLineChars="0"/>
        <w:rPr>
          <w:rFonts w:hint="eastAsia" w:ascii="Calibri" w:hAnsi="Calibri"/>
          <w:szCs w:val="21"/>
        </w:rPr>
      </w:pPr>
      <w:r>
        <w:rPr>
          <w:rFonts w:hint="eastAsia" w:ascii="微软雅黑" w:hAnsi="微软雅黑" w:eastAsia="微软雅黑" w:cs="微软雅黑"/>
          <w:sz w:val="24"/>
        </w:rPr>
        <w:t>注：未完全响应的，按无效报价处理。</w:t>
      </w:r>
    </w:p>
    <w:p w14:paraId="282A91E0"/>
    <w:sectPr>
      <w:footerReference r:id="rId5" w:type="default"/>
      <w:footerReference r:id="rId6" w:type="even"/>
      <w:pgSz w:w="11906" w:h="16838"/>
      <w:pgMar w:top="1418" w:right="1531" w:bottom="1418" w:left="1474" w:header="851" w:footer="992" w:gutter="0"/>
      <w:pgNumType w:chapSep="em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05F6AC-C251-4B93-A47D-F970D83DA4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7C9400A-852F-4481-B5D2-0B3065FCD3A3}"/>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846479A9-169C-4D6B-BECF-AF6FA4D29964}"/>
  </w:font>
  <w:font w:name="方正小标宋简体">
    <w:panose1 w:val="02000000000000000000"/>
    <w:charset w:val="86"/>
    <w:family w:val="auto"/>
    <w:pitch w:val="default"/>
    <w:sig w:usb0="00000001" w:usb1="080E0000" w:usb2="00000000" w:usb3="00000000" w:csb0="00040000" w:csb1="00000000"/>
    <w:embedRegular r:id="rId4" w:fontKey="{3C6A9965-E4F6-41DA-B3C6-36A15FCA0CA2}"/>
  </w:font>
  <w:font w:name="华文中宋">
    <w:panose1 w:val="02010600040101010101"/>
    <w:charset w:val="86"/>
    <w:family w:val="auto"/>
    <w:pitch w:val="default"/>
    <w:sig w:usb0="00000287" w:usb1="080F0000" w:usb2="00000000" w:usb3="00000000" w:csb0="0004009F" w:csb1="DFD70000"/>
    <w:embedRegular r:id="rId5" w:fontKey="{3F44EDA2-2D15-4502-886C-3E7AE7C5A8BD}"/>
  </w:font>
  <w:font w:name="微软雅黑">
    <w:panose1 w:val="020B0503020204020204"/>
    <w:charset w:val="86"/>
    <w:family w:val="swiss"/>
    <w:pitch w:val="default"/>
    <w:sig w:usb0="80000287" w:usb1="2ACF3C50" w:usb2="00000016" w:usb3="00000000" w:csb0="0004001F" w:csb1="00000000"/>
    <w:embedRegular r:id="rId6" w:fontKey="{C349AAF2-D4CF-48D1-9718-ACA83268D088}"/>
  </w:font>
  <w:font w:name="楷体">
    <w:panose1 w:val="02010609060101010101"/>
    <w:charset w:val="86"/>
    <w:family w:val="modern"/>
    <w:pitch w:val="default"/>
    <w:sig w:usb0="800002BF" w:usb1="38CF7CFA" w:usb2="00000016" w:usb3="00000000" w:csb0="00040001" w:csb1="00000000"/>
    <w:embedRegular r:id="rId7" w:fontKey="{70415E5D-E706-4F34-A6DD-FCF5B1CBADE0}"/>
  </w:font>
  <w:font w:name="楷体_GB2312">
    <w:panose1 w:val="02010609030101010101"/>
    <w:charset w:val="86"/>
    <w:family w:val="modern"/>
    <w:pitch w:val="default"/>
    <w:sig w:usb0="00000001" w:usb1="080E0000" w:usb2="00000000" w:usb3="00000000" w:csb0="00040000" w:csb1="00000000"/>
    <w:embedRegular r:id="rId8" w:fontKey="{3476B648-99DD-4612-8B0E-78668B6A2E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EC622">
    <w:pPr>
      <w:snapToGrid w:val="0"/>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10633">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A955E">
    <w:pPr>
      <w:snapToGrid w:val="0"/>
      <w:rPr>
        <w:rFonts w:hint="eastAsia" w:ascii="宋体" w:hAnsi="宋体"/>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D0C5A">
    <w:pPr>
      <w:snapToGrid w:val="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764313"/>
    <w:rsid w:val="56764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pBdr>
        <w:top w:val="single" w:color="auto" w:sz="8" w:space="1"/>
      </w:pBdr>
      <w:adjustRightInd w:val="0"/>
      <w:spacing w:before="340" w:after="330" w:line="578" w:lineRule="atLeast"/>
      <w:textAlignment w:val="baseline"/>
      <w:outlineLvl w:val="0"/>
    </w:pPr>
    <w:rPr>
      <w:b/>
      <w:bCs/>
      <w:kern w:val="44"/>
      <w:sz w:val="44"/>
      <w:szCs w:val="44"/>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szCs w:val="20"/>
    </w:rPr>
  </w:style>
  <w:style w:type="paragraph" w:styleId="4">
    <w:name w:val="Body Text"/>
    <w:basedOn w:val="1"/>
    <w:next w:val="1"/>
    <w:unhideWhenUsed/>
    <w:qFormat/>
    <w:uiPriority w:val="99"/>
    <w:pPr>
      <w:spacing w:after="120"/>
    </w:pPr>
  </w:style>
  <w:style w:type="paragraph" w:styleId="5">
    <w:name w:val="Body Text Indent"/>
    <w:basedOn w:val="1"/>
    <w:uiPriority w:val="0"/>
    <w:pPr>
      <w:ind w:firstLine="656" w:firstLineChars="200"/>
    </w:pPr>
    <w:rPr>
      <w:rFonts w:ascii="仿宋_GB2312" w:hAnsi="宋体" w:eastAsia="仿宋_GB2312"/>
      <w:color w:val="000000"/>
      <w:spacing w:val="4"/>
      <w:sz w:val="32"/>
      <w:szCs w:val="32"/>
    </w:rPr>
  </w:style>
  <w:style w:type="paragraph" w:styleId="6">
    <w:name w:val="Body Text Indent 2"/>
    <w:basedOn w:val="1"/>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Body Text First Indent 2"/>
    <w:basedOn w:val="5"/>
    <w:qFormat/>
    <w:uiPriority w:val="0"/>
    <w:pPr>
      <w:spacing w:after="120"/>
      <w:ind w:left="420" w:leftChars="200" w:firstLine="420"/>
    </w:pPr>
    <w:rPr>
      <w:rFonts w:ascii="Times New Roman" w:hAnsi="Times New Roman" w:eastAsia="宋体"/>
      <w:color w:val="auto"/>
      <w:spacing w:val="0"/>
      <w:sz w:val="21"/>
      <w:szCs w:val="24"/>
    </w:rPr>
  </w:style>
  <w:style w:type="paragraph" w:customStyle="1" w:styleId="11">
    <w:name w:val="文件-章标题"/>
    <w:basedOn w:val="3"/>
    <w:next w:val="1"/>
    <w:qFormat/>
    <w:uiPriority w:val="0"/>
    <w:pPr>
      <w:pBdr>
        <w:top w:val="none" w:color="auto" w:sz="0" w:space="0"/>
      </w:pBdr>
      <w:snapToGrid w:val="0"/>
      <w:spacing w:before="0" w:after="0" w:line="360" w:lineRule="auto"/>
      <w:jc w:val="center"/>
      <w:textAlignment w:val="auto"/>
      <w:outlineLvl w:val="4"/>
    </w:pPr>
    <w:rPr>
      <w:rFonts w:ascii="黑体" w:hAnsi="黑体" w:eastAsia="黑体"/>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2026-10-12T09:22:00Z</dcterms:created>
  <dc:creator>采购室</dc:creator>
  <cp:lastModifiedBy>采购室</cp:lastModifiedBy>
  <dcterms:modified xsi:type="dcterms:W3CDTF">2026-10-12T09:22:26Z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07D7654D20454631B6D7A5374A91200C_11</vt:lpwstr>
  </property>
  <property fmtid="{D5CDD505-2E9C-101B-9397-08002B2CF9AE}" pid="4" name="KSOTemplateDocerSaveRecord">
    <vt:lpwstr>eyJoZGlkIjoiMjgyNWFlMmJhMmE2MDkzMDhiZWI4ODA1OGU2N2NjZDMiLCJ1c2VySWQiOiIzMzQwMDQ3NDIifQ==</vt:lpwstr>
  </property>
</Properties>
</file>